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AC" w:rsidRDefault="003A2FB6" w:rsidP="008605BD">
      <w:pPr>
        <w:shd w:val="clear" w:color="auto" w:fill="17365D" w:themeFill="text2" w:themeFillShade="BF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3A2FB6">
        <w:rPr>
          <w:rFonts w:ascii="Arial" w:hAnsi="Arial" w:cs="Arial"/>
          <w:b/>
          <w:sz w:val="40"/>
          <w:szCs w:val="40"/>
        </w:rPr>
        <w:t>HARROW COUNCIL</w:t>
      </w:r>
      <w:r w:rsidR="00AF4487">
        <w:rPr>
          <w:rFonts w:ascii="Arial" w:hAnsi="Arial" w:cs="Arial"/>
          <w:b/>
          <w:sz w:val="40"/>
          <w:szCs w:val="40"/>
        </w:rPr>
        <w:t xml:space="preserve">                                        Appendix 1      </w:t>
      </w:r>
    </w:p>
    <w:p w:rsidR="003A2FB6" w:rsidRDefault="003A2FB6" w:rsidP="00686AAC">
      <w:pPr>
        <w:shd w:val="clear" w:color="auto" w:fill="17365D" w:themeFill="text2" w:themeFillShade="BF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Internal Audit </w:t>
      </w:r>
      <w:r w:rsidR="00B45E77">
        <w:rPr>
          <w:rFonts w:ascii="Arial" w:hAnsi="Arial" w:cs="Arial"/>
          <w:b/>
          <w:sz w:val="40"/>
          <w:szCs w:val="40"/>
        </w:rPr>
        <w:t>Mid-</w:t>
      </w:r>
      <w:r w:rsidR="00686AAC">
        <w:rPr>
          <w:rFonts w:ascii="Arial" w:hAnsi="Arial" w:cs="Arial"/>
          <w:b/>
          <w:sz w:val="40"/>
          <w:szCs w:val="40"/>
        </w:rPr>
        <w:t>Year</w:t>
      </w:r>
      <w:r w:rsidR="00B45E77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Report</w:t>
      </w:r>
      <w:r w:rsidR="003A3DFF">
        <w:rPr>
          <w:rFonts w:ascii="Arial" w:hAnsi="Arial" w:cs="Arial"/>
          <w:b/>
          <w:sz w:val="40"/>
          <w:szCs w:val="40"/>
        </w:rPr>
        <w:t xml:space="preserve"> </w:t>
      </w:r>
      <w:r w:rsidR="00E00D57">
        <w:rPr>
          <w:rFonts w:ascii="Arial" w:hAnsi="Arial" w:cs="Arial"/>
          <w:b/>
          <w:sz w:val="40"/>
          <w:szCs w:val="40"/>
        </w:rPr>
        <w:t>and Quarter 3 Update</w:t>
      </w:r>
    </w:p>
    <w:p w:rsidR="003A2FB6" w:rsidRDefault="00B45E77" w:rsidP="00686AAC">
      <w:pPr>
        <w:shd w:val="clear" w:color="auto" w:fill="17365D" w:themeFill="text2" w:themeFillShade="BF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2019</w:t>
      </w:r>
      <w:r w:rsidR="003A2FB6">
        <w:rPr>
          <w:rFonts w:ascii="Arial" w:hAnsi="Arial" w:cs="Arial"/>
          <w:b/>
          <w:sz w:val="40"/>
          <w:szCs w:val="40"/>
        </w:rPr>
        <w:t>/</w:t>
      </w:r>
      <w:r>
        <w:rPr>
          <w:rFonts w:ascii="Arial" w:hAnsi="Arial" w:cs="Arial"/>
          <w:b/>
          <w:sz w:val="40"/>
          <w:szCs w:val="40"/>
        </w:rPr>
        <w:t>20</w:t>
      </w:r>
      <w:r w:rsidR="003A2FB6">
        <w:rPr>
          <w:rFonts w:ascii="Arial" w:hAnsi="Arial" w:cs="Arial"/>
          <w:b/>
          <w:sz w:val="40"/>
          <w:szCs w:val="40"/>
        </w:rPr>
        <w:br/>
      </w:r>
    </w:p>
    <w:p w:rsidR="0067101C" w:rsidRDefault="0067101C">
      <w:pPr>
        <w:rPr>
          <w:rFonts w:ascii="Arial" w:hAnsi="Arial" w:cs="Arial"/>
          <w:b/>
          <w:sz w:val="40"/>
          <w:szCs w:val="40"/>
        </w:rPr>
      </w:pPr>
    </w:p>
    <w:p w:rsidR="0067101C" w:rsidRDefault="0067101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CONTENTS:</w:t>
      </w:r>
    </w:p>
    <w:p w:rsidR="00686AAC" w:rsidRDefault="00686AA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Introduction</w:t>
      </w:r>
    </w:p>
    <w:p w:rsidR="00686AAC" w:rsidRDefault="00686AA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Head of Internal Audit Opinion</w:t>
      </w:r>
    </w:p>
    <w:p w:rsidR="00FA16B5" w:rsidRDefault="00FA16B5" w:rsidP="00FA16B5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FA16B5">
        <w:rPr>
          <w:rFonts w:ascii="Arial" w:hAnsi="Arial" w:cs="Arial"/>
          <w:sz w:val="32"/>
          <w:szCs w:val="32"/>
        </w:rPr>
        <w:t>Key Factors at Mid-Year for the 2019/20 Opinion</w:t>
      </w:r>
    </w:p>
    <w:p w:rsidR="00FA16B5" w:rsidRPr="00FA16B5" w:rsidRDefault="00FA16B5" w:rsidP="00FA16B5">
      <w:pPr>
        <w:rPr>
          <w:rFonts w:ascii="Arial" w:hAnsi="Arial" w:cs="Arial"/>
          <w:sz w:val="32"/>
          <w:szCs w:val="32"/>
        </w:rPr>
      </w:pPr>
    </w:p>
    <w:p w:rsidR="00593142" w:rsidRDefault="0067101C" w:rsidP="0059314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Summary of </w:t>
      </w:r>
      <w:r w:rsidR="008605BD">
        <w:rPr>
          <w:rFonts w:ascii="Arial" w:hAnsi="Arial" w:cs="Arial"/>
          <w:b/>
          <w:sz w:val="40"/>
          <w:szCs w:val="40"/>
        </w:rPr>
        <w:t>Outputs</w:t>
      </w:r>
      <w:r w:rsidR="00FA16B5">
        <w:rPr>
          <w:rFonts w:ascii="Arial" w:hAnsi="Arial" w:cs="Arial"/>
          <w:b/>
          <w:sz w:val="40"/>
          <w:szCs w:val="40"/>
        </w:rPr>
        <w:t xml:space="preserve"> </w:t>
      </w:r>
    </w:p>
    <w:p w:rsidR="00593142" w:rsidRPr="00593142" w:rsidRDefault="00593142" w:rsidP="00593142">
      <w:pPr>
        <w:pStyle w:val="ListParagraph"/>
        <w:numPr>
          <w:ilvl w:val="0"/>
          <w:numId w:val="18"/>
        </w:numPr>
        <w:rPr>
          <w:rFonts w:ascii="Arial" w:eastAsia="+mj-ea" w:hAnsi="Arial" w:cs="+mj-cs"/>
          <w:bCs/>
          <w:iCs/>
          <w:color w:val="002060"/>
          <w:kern w:val="24"/>
          <w:sz w:val="32"/>
          <w:szCs w:val="32"/>
        </w:rPr>
      </w:pPr>
      <w:r w:rsidRPr="00593142">
        <w:rPr>
          <w:rFonts w:ascii="Arial" w:hAnsi="Arial" w:cs="Arial"/>
          <w:sz w:val="32"/>
          <w:szCs w:val="32"/>
        </w:rPr>
        <w:t>Key Outputs</w:t>
      </w:r>
      <w:r>
        <w:rPr>
          <w:rFonts w:ascii="Arial" w:hAnsi="Arial" w:cs="Arial"/>
          <w:sz w:val="32"/>
          <w:szCs w:val="32"/>
        </w:rPr>
        <w:t xml:space="preserve"> at Mid-year</w:t>
      </w:r>
      <w:r w:rsidRPr="00593142">
        <w:rPr>
          <w:rFonts w:ascii="Arial" w:hAnsi="Arial" w:cs="Arial"/>
          <w:sz w:val="32"/>
          <w:szCs w:val="32"/>
        </w:rPr>
        <w:t xml:space="preserve"> </w:t>
      </w:r>
    </w:p>
    <w:p w:rsidR="00593142" w:rsidRDefault="00593142" w:rsidP="00593142">
      <w:pPr>
        <w:pStyle w:val="ListParagraph"/>
        <w:numPr>
          <w:ilvl w:val="0"/>
          <w:numId w:val="18"/>
        </w:numPr>
        <w:rPr>
          <w:rFonts w:ascii="Arial" w:eastAsia="+mn-ea" w:hAnsi="Arial" w:cs="Arial"/>
          <w:bCs/>
          <w:iCs/>
          <w:kern w:val="24"/>
          <w:sz w:val="32"/>
          <w:szCs w:val="32"/>
        </w:rPr>
      </w:pPr>
      <w:r w:rsidRPr="00593142">
        <w:rPr>
          <w:rFonts w:ascii="Arial" w:eastAsia="+mj-ea" w:hAnsi="Arial" w:cs="+mj-cs"/>
          <w:bCs/>
          <w:iCs/>
          <w:kern w:val="24"/>
          <w:sz w:val="32"/>
          <w:szCs w:val="32"/>
        </w:rPr>
        <w:t>Progress against the 2019/20 Internal Audit Plan at Mid-Year and Q3 including</w:t>
      </w:r>
      <w:r w:rsidRPr="00593142">
        <w:rPr>
          <w:rFonts w:ascii="Arial" w:hAnsi="Arial" w:cs="Arial"/>
          <w:sz w:val="32"/>
          <w:szCs w:val="32"/>
        </w:rPr>
        <w:t xml:space="preserve"> Assurance Results</w:t>
      </w:r>
      <w:r w:rsidRPr="00593142">
        <w:rPr>
          <w:rFonts w:ascii="Arial" w:eastAsia="+mn-ea" w:hAnsi="Arial" w:cs="Arial"/>
          <w:bCs/>
          <w:iCs/>
          <w:kern w:val="24"/>
          <w:sz w:val="32"/>
          <w:szCs w:val="32"/>
        </w:rPr>
        <w:t xml:space="preserve"> of Individual Assignments </w:t>
      </w:r>
    </w:p>
    <w:p w:rsidR="00593142" w:rsidRPr="00593142" w:rsidRDefault="00593142" w:rsidP="00593142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593142">
        <w:rPr>
          <w:rFonts w:ascii="Arial" w:hAnsi="Arial" w:cs="Arial"/>
          <w:sz w:val="32"/>
          <w:szCs w:val="32"/>
        </w:rPr>
        <w:t>Follow Up Work Conducted/Due</w:t>
      </w:r>
    </w:p>
    <w:p w:rsidR="00593142" w:rsidRDefault="00593142">
      <w:pPr>
        <w:rPr>
          <w:rFonts w:ascii="Arial" w:hAnsi="Arial" w:cs="Arial"/>
          <w:b/>
          <w:sz w:val="40"/>
          <w:szCs w:val="40"/>
        </w:rPr>
      </w:pPr>
    </w:p>
    <w:p w:rsidR="00617135" w:rsidRDefault="008F417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Performance of Internal Audit</w:t>
      </w:r>
    </w:p>
    <w:p w:rsidR="0067101C" w:rsidRDefault="00B9041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Appendices: </w:t>
      </w:r>
    </w:p>
    <w:p w:rsidR="004E6157" w:rsidRDefault="006710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8F417D" w:rsidRPr="004E6157">
        <w:rPr>
          <w:rFonts w:ascii="Arial" w:hAnsi="Arial" w:cs="Arial"/>
          <w:sz w:val="32"/>
          <w:szCs w:val="32"/>
        </w:rPr>
        <w:t>1</w:t>
      </w:r>
      <w:r w:rsidRPr="004E6157">
        <w:rPr>
          <w:rFonts w:ascii="Arial" w:hAnsi="Arial" w:cs="Arial"/>
          <w:sz w:val="32"/>
          <w:szCs w:val="32"/>
        </w:rPr>
        <w:t xml:space="preserve">. </w:t>
      </w:r>
      <w:r w:rsidR="008F417D" w:rsidRPr="004E6157">
        <w:rPr>
          <w:rFonts w:ascii="Arial" w:hAnsi="Arial" w:cs="Arial"/>
          <w:sz w:val="32"/>
          <w:szCs w:val="32"/>
        </w:rPr>
        <w:t>Audit Report Assurance Levels</w:t>
      </w:r>
    </w:p>
    <w:p w:rsidR="004E6157" w:rsidRDefault="004E615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67101C" w:rsidRPr="00686AAC" w:rsidRDefault="0067101C" w:rsidP="007244A4">
      <w:pPr>
        <w:shd w:val="clear" w:color="auto" w:fill="17365D" w:themeFill="text2" w:themeFillShade="BF"/>
        <w:spacing w:after="0" w:line="240" w:lineRule="auto"/>
        <w:ind w:left="-142"/>
        <w:rPr>
          <w:rFonts w:ascii="Arial" w:hAnsi="Arial" w:cs="Arial"/>
          <w:b/>
          <w:sz w:val="40"/>
          <w:szCs w:val="40"/>
        </w:rPr>
      </w:pPr>
      <w:r w:rsidRPr="00686AAC">
        <w:rPr>
          <w:rFonts w:ascii="Arial" w:hAnsi="Arial" w:cs="Arial"/>
          <w:b/>
          <w:sz w:val="40"/>
          <w:szCs w:val="40"/>
        </w:rPr>
        <w:lastRenderedPageBreak/>
        <w:t>Introduction</w:t>
      </w:r>
    </w:p>
    <w:p w:rsidR="005C125A" w:rsidRDefault="005C125A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101C" w:rsidRPr="00F44CE8" w:rsidRDefault="0067101C" w:rsidP="005C12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4CE8">
        <w:rPr>
          <w:rFonts w:ascii="Arial" w:hAnsi="Arial" w:cs="Arial"/>
          <w:sz w:val="24"/>
          <w:szCs w:val="24"/>
          <w:lang w:val="en-US"/>
        </w:rPr>
        <w:t xml:space="preserve">This report outlines the internal audit work carried out </w:t>
      </w:r>
      <w:r w:rsidR="00B45E77" w:rsidRPr="00F44CE8">
        <w:rPr>
          <w:rFonts w:ascii="Arial" w:hAnsi="Arial" w:cs="Arial"/>
          <w:sz w:val="24"/>
          <w:szCs w:val="24"/>
          <w:lang w:val="en-US"/>
        </w:rPr>
        <w:t xml:space="preserve">in the first half of the </w:t>
      </w:r>
      <w:r w:rsidRPr="00F44CE8">
        <w:rPr>
          <w:rFonts w:ascii="Arial" w:hAnsi="Arial" w:cs="Arial"/>
          <w:sz w:val="24"/>
          <w:szCs w:val="24"/>
          <w:lang w:val="en-US"/>
        </w:rPr>
        <w:t>year end</w:t>
      </w:r>
      <w:r w:rsidR="003A3DFF" w:rsidRPr="00F44CE8">
        <w:rPr>
          <w:rFonts w:ascii="Arial" w:hAnsi="Arial" w:cs="Arial"/>
          <w:sz w:val="24"/>
          <w:szCs w:val="24"/>
          <w:lang w:val="en-US"/>
        </w:rPr>
        <w:t>ing</w:t>
      </w:r>
      <w:r w:rsidRPr="00F44CE8">
        <w:rPr>
          <w:rFonts w:ascii="Arial" w:hAnsi="Arial" w:cs="Arial"/>
          <w:sz w:val="24"/>
          <w:szCs w:val="24"/>
          <w:lang w:val="en-US"/>
        </w:rPr>
        <w:t xml:space="preserve"> 31/03/</w:t>
      </w:r>
      <w:r w:rsidR="00B45E77" w:rsidRPr="00F44CE8">
        <w:rPr>
          <w:rFonts w:ascii="Arial" w:hAnsi="Arial" w:cs="Arial"/>
          <w:sz w:val="24"/>
          <w:szCs w:val="24"/>
          <w:lang w:val="en-US"/>
        </w:rPr>
        <w:t>20</w:t>
      </w:r>
      <w:r w:rsidR="003A3DFF" w:rsidRPr="00F44CE8">
        <w:rPr>
          <w:rFonts w:ascii="Arial" w:hAnsi="Arial" w:cs="Arial"/>
          <w:sz w:val="24"/>
          <w:szCs w:val="24"/>
          <w:lang w:val="en-US"/>
        </w:rPr>
        <w:t xml:space="preserve"> i.e. quarters 1 and 2 plus, given the timing of the report, an update of work undertaken in quarter 3</w:t>
      </w:r>
      <w:r w:rsidRPr="00F44CE8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3A3DFF" w:rsidRPr="00F44CE8" w:rsidRDefault="003A3DFF" w:rsidP="005C125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7101C" w:rsidRPr="00441376" w:rsidRDefault="0067101C" w:rsidP="005C125A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F44CE8">
        <w:rPr>
          <w:rFonts w:ascii="Arial" w:hAnsi="Arial" w:cs="Arial"/>
          <w:sz w:val="24"/>
          <w:szCs w:val="24"/>
          <w:lang w:val="en-US"/>
        </w:rPr>
        <w:t>The Internal Audit Plan 201</w:t>
      </w:r>
      <w:r w:rsidR="00B45E77" w:rsidRPr="00F44CE8">
        <w:rPr>
          <w:rFonts w:ascii="Arial" w:hAnsi="Arial" w:cs="Arial"/>
          <w:sz w:val="24"/>
          <w:szCs w:val="24"/>
          <w:lang w:val="en-US"/>
        </w:rPr>
        <w:t>9</w:t>
      </w:r>
      <w:r w:rsidRPr="00F44CE8">
        <w:rPr>
          <w:rFonts w:ascii="Arial" w:hAnsi="Arial" w:cs="Arial"/>
          <w:sz w:val="24"/>
          <w:szCs w:val="24"/>
          <w:lang w:val="en-US"/>
        </w:rPr>
        <w:t>/</w:t>
      </w:r>
      <w:r w:rsidR="00B45E77" w:rsidRPr="00F44CE8">
        <w:rPr>
          <w:rFonts w:ascii="Arial" w:hAnsi="Arial" w:cs="Arial"/>
          <w:sz w:val="24"/>
          <w:szCs w:val="24"/>
          <w:lang w:val="en-US"/>
        </w:rPr>
        <w:t>20</w:t>
      </w:r>
      <w:r w:rsidRPr="00F44CE8">
        <w:rPr>
          <w:rFonts w:ascii="Arial" w:hAnsi="Arial" w:cs="Arial"/>
          <w:sz w:val="24"/>
          <w:szCs w:val="24"/>
          <w:lang w:val="en-US"/>
        </w:rPr>
        <w:t xml:space="preserve"> was based on a level of internal audit input of </w:t>
      </w:r>
      <w:r w:rsidR="00B45E77" w:rsidRPr="00F44CE8">
        <w:rPr>
          <w:rFonts w:ascii="Arial" w:hAnsi="Arial" w:cs="Arial"/>
          <w:sz w:val="24"/>
          <w:szCs w:val="24"/>
          <w:lang w:val="en-US"/>
        </w:rPr>
        <w:t>795</w:t>
      </w:r>
      <w:r w:rsidRPr="00F44CE8">
        <w:rPr>
          <w:rFonts w:ascii="Arial" w:hAnsi="Arial" w:cs="Arial"/>
          <w:sz w:val="24"/>
          <w:szCs w:val="24"/>
          <w:lang w:val="en-US"/>
        </w:rPr>
        <w:t xml:space="preserve"> days</w:t>
      </w:r>
      <w:r w:rsidR="00B45E77" w:rsidRPr="00F44CE8">
        <w:rPr>
          <w:rFonts w:ascii="Arial" w:hAnsi="Arial" w:cs="Arial"/>
          <w:sz w:val="24"/>
          <w:szCs w:val="24"/>
          <w:lang w:val="en-US"/>
        </w:rPr>
        <w:t xml:space="preserve"> and was agreed by the Governance, Audit, Risk Management and Standards Committee on 16/04/19.  At the mid-year </w:t>
      </w:r>
      <w:r w:rsidR="00B45E77" w:rsidRPr="00FA16B5">
        <w:rPr>
          <w:rFonts w:ascii="Arial" w:hAnsi="Arial" w:cs="Arial"/>
          <w:sz w:val="24"/>
          <w:szCs w:val="24"/>
          <w:lang w:val="en-US"/>
        </w:rPr>
        <w:t xml:space="preserve">point </w:t>
      </w:r>
      <w:r w:rsidR="009D0078">
        <w:rPr>
          <w:rFonts w:ascii="Arial" w:hAnsi="Arial" w:cs="Arial"/>
          <w:sz w:val="24"/>
          <w:szCs w:val="24"/>
          <w:lang w:val="en-US"/>
        </w:rPr>
        <w:t>435</w:t>
      </w:r>
      <w:r w:rsidR="00B45E77" w:rsidRPr="00FA16B5">
        <w:rPr>
          <w:rFonts w:ascii="Arial" w:hAnsi="Arial" w:cs="Arial"/>
          <w:sz w:val="24"/>
          <w:szCs w:val="24"/>
          <w:lang w:val="en-US"/>
        </w:rPr>
        <w:t xml:space="preserve"> audit </w:t>
      </w:r>
      <w:r w:rsidR="00B45E77" w:rsidRPr="00F44CE8">
        <w:rPr>
          <w:rFonts w:ascii="Arial" w:hAnsi="Arial" w:cs="Arial"/>
          <w:sz w:val="24"/>
          <w:szCs w:val="24"/>
          <w:lang w:val="en-US"/>
        </w:rPr>
        <w:t xml:space="preserve">days have been delivered </w:t>
      </w:r>
      <w:r w:rsidR="00B45E77" w:rsidRPr="00FA16B5">
        <w:rPr>
          <w:rFonts w:ascii="Arial" w:hAnsi="Arial" w:cs="Arial"/>
          <w:sz w:val="24"/>
          <w:szCs w:val="24"/>
          <w:lang w:val="en-US"/>
        </w:rPr>
        <w:t xml:space="preserve">and </w:t>
      </w:r>
      <w:r w:rsidR="000F73B2" w:rsidRPr="00FA16B5">
        <w:rPr>
          <w:rFonts w:ascii="Arial" w:hAnsi="Arial" w:cs="Arial"/>
          <w:sz w:val="24"/>
          <w:szCs w:val="24"/>
          <w:lang w:val="en-US"/>
        </w:rPr>
        <w:t>44</w:t>
      </w:r>
      <w:r w:rsidR="00B45E77" w:rsidRPr="00FA16B5">
        <w:rPr>
          <w:rFonts w:ascii="Arial" w:hAnsi="Arial" w:cs="Arial"/>
          <w:sz w:val="24"/>
          <w:szCs w:val="24"/>
          <w:lang w:val="en-US"/>
        </w:rPr>
        <w:t xml:space="preserve">% of the </w:t>
      </w:r>
      <w:r w:rsidR="00B45E77" w:rsidRPr="00F44CE8">
        <w:rPr>
          <w:rFonts w:ascii="Arial" w:hAnsi="Arial" w:cs="Arial"/>
          <w:sz w:val="24"/>
          <w:szCs w:val="24"/>
          <w:lang w:val="en-US"/>
        </w:rPr>
        <w:t xml:space="preserve">plan has been completed </w:t>
      </w:r>
      <w:r w:rsidR="00B45E77" w:rsidRPr="00FA16B5">
        <w:rPr>
          <w:rFonts w:ascii="Arial" w:hAnsi="Arial" w:cs="Arial"/>
          <w:sz w:val="24"/>
          <w:szCs w:val="24"/>
          <w:lang w:val="en-US"/>
        </w:rPr>
        <w:t xml:space="preserve">with </w:t>
      </w:r>
      <w:r w:rsidR="00DB531C" w:rsidRPr="00FA16B5">
        <w:rPr>
          <w:rFonts w:ascii="Arial" w:hAnsi="Arial" w:cs="Arial"/>
          <w:sz w:val="24"/>
          <w:szCs w:val="24"/>
          <w:lang w:val="en-US"/>
        </w:rPr>
        <w:t>16</w:t>
      </w:r>
      <w:r w:rsidR="00B45E77" w:rsidRPr="00FA16B5">
        <w:rPr>
          <w:rFonts w:ascii="Arial" w:hAnsi="Arial" w:cs="Arial"/>
          <w:sz w:val="24"/>
          <w:szCs w:val="24"/>
          <w:lang w:val="en-US"/>
        </w:rPr>
        <w:t>% in progress</w:t>
      </w:r>
      <w:r w:rsidR="00B45E77" w:rsidRPr="00F44CE8">
        <w:rPr>
          <w:rFonts w:ascii="Arial" w:hAnsi="Arial" w:cs="Arial"/>
          <w:sz w:val="24"/>
          <w:szCs w:val="24"/>
          <w:lang w:val="en-US"/>
        </w:rPr>
        <w:t>.</w:t>
      </w:r>
      <w:r w:rsidR="00231182" w:rsidRPr="00F44CE8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231182" w:rsidRPr="00441376" w:rsidRDefault="00231182" w:rsidP="005C125A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  <w:lang w:val="en-US"/>
        </w:rPr>
      </w:pPr>
    </w:p>
    <w:p w:rsidR="0067101C" w:rsidRPr="00F44CE8" w:rsidRDefault="0067101C" w:rsidP="005C125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44CE8">
        <w:rPr>
          <w:rFonts w:ascii="Arial" w:hAnsi="Arial" w:cs="Arial"/>
          <w:sz w:val="24"/>
          <w:szCs w:val="24"/>
          <w:lang w:val="en-US"/>
        </w:rPr>
        <w:t xml:space="preserve">Internal audit work </w:t>
      </w:r>
      <w:r w:rsidR="00D157D1" w:rsidRPr="00F44CE8">
        <w:rPr>
          <w:rFonts w:ascii="Arial" w:hAnsi="Arial" w:cs="Arial"/>
          <w:sz w:val="24"/>
          <w:szCs w:val="24"/>
          <w:lang w:val="en-US"/>
        </w:rPr>
        <w:t xml:space="preserve">has been </w:t>
      </w:r>
      <w:r w:rsidRPr="00F44CE8">
        <w:rPr>
          <w:rFonts w:ascii="Arial" w:hAnsi="Arial" w:cs="Arial"/>
          <w:sz w:val="24"/>
          <w:szCs w:val="24"/>
          <w:lang w:val="en-US"/>
        </w:rPr>
        <w:t>performed in conformance with the Public Sector Internal Audit Standards.</w:t>
      </w:r>
    </w:p>
    <w:p w:rsidR="005C125A" w:rsidRDefault="005C125A" w:rsidP="005C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417" w:rsidRDefault="00B90417" w:rsidP="005C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101C" w:rsidRPr="00686AAC" w:rsidRDefault="0067101C" w:rsidP="007244A4">
      <w:pPr>
        <w:shd w:val="clear" w:color="auto" w:fill="17365D" w:themeFill="text2" w:themeFillShade="BF"/>
        <w:spacing w:after="0" w:line="240" w:lineRule="auto"/>
        <w:ind w:left="-142"/>
        <w:rPr>
          <w:rFonts w:ascii="Arial" w:hAnsi="Arial" w:cs="Arial"/>
          <w:b/>
          <w:bCs/>
          <w:iCs/>
          <w:sz w:val="40"/>
          <w:szCs w:val="40"/>
          <w:lang w:val="en-US"/>
        </w:rPr>
      </w:pPr>
      <w:r w:rsidRPr="00686AAC">
        <w:rPr>
          <w:rFonts w:ascii="Arial" w:hAnsi="Arial" w:cs="Arial"/>
          <w:b/>
          <w:bCs/>
          <w:iCs/>
          <w:sz w:val="40"/>
          <w:szCs w:val="40"/>
          <w:lang w:val="en-US"/>
        </w:rPr>
        <w:t xml:space="preserve">Head of </w:t>
      </w:r>
      <w:r w:rsidR="004D6B0E" w:rsidRPr="00686AAC">
        <w:rPr>
          <w:rFonts w:ascii="Arial" w:hAnsi="Arial" w:cs="Arial"/>
          <w:b/>
          <w:bCs/>
          <w:iCs/>
          <w:sz w:val="40"/>
          <w:szCs w:val="40"/>
          <w:lang w:val="en-US"/>
        </w:rPr>
        <w:t>I</w:t>
      </w:r>
      <w:r w:rsidRPr="00686AAC">
        <w:rPr>
          <w:rFonts w:ascii="Arial" w:hAnsi="Arial" w:cs="Arial"/>
          <w:b/>
          <w:bCs/>
          <w:iCs/>
          <w:sz w:val="40"/>
          <w:szCs w:val="40"/>
          <w:lang w:val="en-US"/>
        </w:rPr>
        <w:t xml:space="preserve">nternal </w:t>
      </w:r>
      <w:r w:rsidR="004D6B0E" w:rsidRPr="00686AAC">
        <w:rPr>
          <w:rFonts w:ascii="Arial" w:hAnsi="Arial" w:cs="Arial"/>
          <w:b/>
          <w:bCs/>
          <w:iCs/>
          <w:sz w:val="40"/>
          <w:szCs w:val="40"/>
          <w:lang w:val="en-US"/>
        </w:rPr>
        <w:t>A</w:t>
      </w:r>
      <w:r w:rsidRPr="00686AAC">
        <w:rPr>
          <w:rFonts w:ascii="Arial" w:hAnsi="Arial" w:cs="Arial"/>
          <w:b/>
          <w:bCs/>
          <w:iCs/>
          <w:sz w:val="40"/>
          <w:szCs w:val="40"/>
          <w:lang w:val="en-US"/>
        </w:rPr>
        <w:t xml:space="preserve">udit </w:t>
      </w:r>
      <w:r w:rsidR="004D6B0E" w:rsidRPr="00686AAC">
        <w:rPr>
          <w:rFonts w:ascii="Arial" w:hAnsi="Arial" w:cs="Arial"/>
          <w:b/>
          <w:bCs/>
          <w:iCs/>
          <w:sz w:val="40"/>
          <w:szCs w:val="40"/>
          <w:lang w:val="en-US"/>
        </w:rPr>
        <w:t>O</w:t>
      </w:r>
      <w:r w:rsidRPr="00686AAC">
        <w:rPr>
          <w:rFonts w:ascii="Arial" w:hAnsi="Arial" w:cs="Arial"/>
          <w:b/>
          <w:bCs/>
          <w:iCs/>
          <w:sz w:val="40"/>
          <w:szCs w:val="40"/>
          <w:lang w:val="en-US"/>
        </w:rPr>
        <w:t>pinion</w:t>
      </w:r>
    </w:p>
    <w:p w:rsidR="005C125A" w:rsidRPr="004D6B0E" w:rsidRDefault="005C125A" w:rsidP="005C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892" w:rsidRPr="00F44CE8" w:rsidRDefault="00D66AF4" w:rsidP="005C125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44CE8">
        <w:rPr>
          <w:rFonts w:ascii="Arial" w:hAnsi="Arial" w:cs="Arial"/>
          <w:sz w:val="24"/>
          <w:szCs w:val="24"/>
          <w:lang w:val="en-US"/>
        </w:rPr>
        <w:t>The aim of the internal audit plan is to ensure that s</w:t>
      </w:r>
      <w:r w:rsidR="0067101C" w:rsidRPr="00F44CE8">
        <w:rPr>
          <w:rFonts w:ascii="Arial" w:hAnsi="Arial" w:cs="Arial"/>
          <w:sz w:val="24"/>
          <w:szCs w:val="24"/>
          <w:lang w:val="en-US"/>
        </w:rPr>
        <w:t xml:space="preserve">ufficient internal audit work </w:t>
      </w:r>
      <w:r w:rsidRPr="00F44CE8">
        <w:rPr>
          <w:rFonts w:ascii="Arial" w:hAnsi="Arial" w:cs="Arial"/>
          <w:sz w:val="24"/>
          <w:szCs w:val="24"/>
          <w:lang w:val="en-US"/>
        </w:rPr>
        <w:t xml:space="preserve">is </w:t>
      </w:r>
      <w:r w:rsidR="0067101C" w:rsidRPr="00F44CE8">
        <w:rPr>
          <w:rFonts w:ascii="Arial" w:hAnsi="Arial" w:cs="Arial"/>
          <w:sz w:val="24"/>
          <w:szCs w:val="24"/>
          <w:lang w:val="en-US"/>
        </w:rPr>
        <w:t xml:space="preserve">undertaken </w:t>
      </w:r>
      <w:r w:rsidRPr="00F44CE8">
        <w:rPr>
          <w:rFonts w:ascii="Arial" w:hAnsi="Arial" w:cs="Arial"/>
          <w:sz w:val="24"/>
          <w:szCs w:val="24"/>
          <w:lang w:val="en-US"/>
        </w:rPr>
        <w:t xml:space="preserve">throughout the year </w:t>
      </w:r>
      <w:r w:rsidR="0067101C" w:rsidRPr="00F44CE8">
        <w:rPr>
          <w:rFonts w:ascii="Arial" w:hAnsi="Arial" w:cs="Arial"/>
          <w:sz w:val="24"/>
          <w:szCs w:val="24"/>
          <w:lang w:val="en-US"/>
        </w:rPr>
        <w:t xml:space="preserve">to allow an opinion to be given as to the adequacy and effectiveness of governance, risk management and </w:t>
      </w:r>
      <w:r w:rsidR="00B90417" w:rsidRPr="00F44CE8">
        <w:rPr>
          <w:rFonts w:ascii="Arial" w:hAnsi="Arial" w:cs="Arial"/>
          <w:sz w:val="24"/>
          <w:szCs w:val="24"/>
          <w:lang w:val="en-US"/>
        </w:rPr>
        <w:t xml:space="preserve">internal </w:t>
      </w:r>
      <w:r w:rsidR="0067101C" w:rsidRPr="00F44CE8">
        <w:rPr>
          <w:rFonts w:ascii="Arial" w:hAnsi="Arial" w:cs="Arial"/>
          <w:sz w:val="24"/>
          <w:szCs w:val="24"/>
          <w:lang w:val="en-US"/>
        </w:rPr>
        <w:t>control</w:t>
      </w:r>
      <w:r w:rsidRPr="00F44CE8">
        <w:rPr>
          <w:rFonts w:ascii="Arial" w:hAnsi="Arial" w:cs="Arial"/>
          <w:sz w:val="24"/>
          <w:szCs w:val="24"/>
          <w:lang w:val="en-US"/>
        </w:rPr>
        <w:t xml:space="preserve"> across the Council</w:t>
      </w:r>
      <w:r w:rsidR="0067101C" w:rsidRPr="00F44CE8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BA2892" w:rsidRPr="00F44CE8" w:rsidRDefault="00BA2892" w:rsidP="005C125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C125A" w:rsidRPr="00F44CE8" w:rsidRDefault="00D157D1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4CE8">
        <w:rPr>
          <w:rFonts w:ascii="Arial" w:hAnsi="Arial" w:cs="Arial"/>
          <w:sz w:val="24"/>
          <w:szCs w:val="24"/>
          <w:lang w:val="en-US"/>
        </w:rPr>
        <w:t>The level of progress against the plan at mid-year indicates that sufficient work will be undertaken to allow an opinion to be given at year-end.</w:t>
      </w:r>
    </w:p>
    <w:p w:rsidR="005C125A" w:rsidRDefault="005C125A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0417" w:rsidRDefault="00B9041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C125A" w:rsidRPr="004E6157" w:rsidRDefault="000058F9" w:rsidP="007244A4">
      <w:pPr>
        <w:shd w:val="clear" w:color="auto" w:fill="17365D" w:themeFill="text2" w:themeFillShade="BF"/>
        <w:spacing w:after="0" w:line="240" w:lineRule="auto"/>
        <w:ind w:left="-142"/>
        <w:rPr>
          <w:rFonts w:ascii="Arial" w:hAnsi="Arial" w:cs="Arial"/>
          <w:sz w:val="32"/>
          <w:szCs w:val="32"/>
        </w:rPr>
      </w:pPr>
      <w:r w:rsidRPr="004E6157">
        <w:rPr>
          <w:rFonts w:ascii="Arial" w:hAnsi="Arial" w:cs="Arial"/>
          <w:sz w:val="32"/>
          <w:szCs w:val="32"/>
        </w:rPr>
        <w:t xml:space="preserve">Key Factors </w:t>
      </w:r>
      <w:r w:rsidR="00D157D1">
        <w:rPr>
          <w:rFonts w:ascii="Arial" w:hAnsi="Arial" w:cs="Arial"/>
          <w:sz w:val="32"/>
          <w:szCs w:val="32"/>
        </w:rPr>
        <w:t xml:space="preserve">at Mid-Year </w:t>
      </w:r>
      <w:r w:rsidRPr="004E6157">
        <w:rPr>
          <w:rFonts w:ascii="Arial" w:hAnsi="Arial" w:cs="Arial"/>
          <w:sz w:val="32"/>
          <w:szCs w:val="32"/>
        </w:rPr>
        <w:t>for the 201</w:t>
      </w:r>
      <w:r w:rsidR="00D157D1">
        <w:rPr>
          <w:rFonts w:ascii="Arial" w:hAnsi="Arial" w:cs="Arial"/>
          <w:sz w:val="32"/>
          <w:szCs w:val="32"/>
        </w:rPr>
        <w:t>9</w:t>
      </w:r>
      <w:r w:rsidRPr="004E6157">
        <w:rPr>
          <w:rFonts w:ascii="Arial" w:hAnsi="Arial" w:cs="Arial"/>
          <w:sz w:val="32"/>
          <w:szCs w:val="32"/>
        </w:rPr>
        <w:t>/</w:t>
      </w:r>
      <w:r w:rsidR="00D157D1">
        <w:rPr>
          <w:rFonts w:ascii="Arial" w:hAnsi="Arial" w:cs="Arial"/>
          <w:sz w:val="32"/>
          <w:szCs w:val="32"/>
        </w:rPr>
        <w:t>20</w:t>
      </w:r>
      <w:r w:rsidRPr="004E6157">
        <w:rPr>
          <w:rFonts w:ascii="Arial" w:hAnsi="Arial" w:cs="Arial"/>
          <w:sz w:val="32"/>
          <w:szCs w:val="32"/>
        </w:rPr>
        <w:t xml:space="preserve"> Opinion</w:t>
      </w:r>
    </w:p>
    <w:p w:rsidR="005C125A" w:rsidRDefault="005C125A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125A" w:rsidRPr="00F44CE8" w:rsidRDefault="005C125A" w:rsidP="005C125A">
      <w:pPr>
        <w:pStyle w:val="NormalWeb"/>
        <w:spacing w:before="0" w:beforeAutospacing="0" w:after="80" w:afterAutospacing="0"/>
      </w:pPr>
      <w:r w:rsidRPr="00F44CE8">
        <w:rPr>
          <w:rFonts w:ascii="Arial" w:eastAsia="+mn-ea" w:hAnsi="Arial" w:cs="Arial"/>
          <w:kern w:val="24"/>
        </w:rPr>
        <w:t>The key factors that contributed to the opinion are summarised as follows:</w:t>
      </w:r>
    </w:p>
    <w:p w:rsidR="00D22D05" w:rsidRPr="00FA16B5" w:rsidRDefault="00D22D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2D05" w:rsidRPr="00FA16B5" w:rsidRDefault="00C55337" w:rsidP="00D22D0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A16B5">
        <w:rPr>
          <w:rFonts w:ascii="Arial" w:hAnsi="Arial" w:cs="Arial"/>
        </w:rPr>
        <w:t>100</w:t>
      </w:r>
      <w:r w:rsidR="00346A5E" w:rsidRPr="00FA16B5">
        <w:rPr>
          <w:rFonts w:ascii="Arial" w:hAnsi="Arial" w:cs="Arial"/>
        </w:rPr>
        <w:t xml:space="preserve">% </w:t>
      </w:r>
      <w:r w:rsidR="00D22D05" w:rsidRPr="00FA16B5">
        <w:rPr>
          <w:rFonts w:ascii="Arial" w:hAnsi="Arial" w:cs="Arial"/>
        </w:rPr>
        <w:t xml:space="preserve">of assurance reviews undertaken </w:t>
      </w:r>
      <w:r w:rsidR="00D157D1" w:rsidRPr="00FA16B5">
        <w:rPr>
          <w:rFonts w:ascii="Arial" w:hAnsi="Arial" w:cs="Arial"/>
        </w:rPr>
        <w:t xml:space="preserve">at mid-year </w:t>
      </w:r>
      <w:r w:rsidR="00D22D05" w:rsidRPr="00FA16B5">
        <w:rPr>
          <w:rFonts w:ascii="Arial" w:hAnsi="Arial" w:cs="Arial"/>
        </w:rPr>
        <w:t>201</w:t>
      </w:r>
      <w:r w:rsidR="00D157D1" w:rsidRPr="00FA16B5">
        <w:rPr>
          <w:rFonts w:ascii="Arial" w:hAnsi="Arial" w:cs="Arial"/>
        </w:rPr>
        <w:t>9</w:t>
      </w:r>
      <w:r w:rsidR="00D22D05" w:rsidRPr="00FA16B5">
        <w:rPr>
          <w:rFonts w:ascii="Arial" w:hAnsi="Arial" w:cs="Arial"/>
        </w:rPr>
        <w:t>/</w:t>
      </w:r>
      <w:r w:rsidR="00D157D1" w:rsidRPr="00FA16B5">
        <w:rPr>
          <w:rFonts w:ascii="Arial" w:hAnsi="Arial" w:cs="Arial"/>
        </w:rPr>
        <w:t>20</w:t>
      </w:r>
      <w:r w:rsidR="00D22D05" w:rsidRPr="00FA16B5">
        <w:rPr>
          <w:rFonts w:ascii="Arial" w:hAnsi="Arial" w:cs="Arial"/>
        </w:rPr>
        <w:t xml:space="preserve"> were given an amber, an amber/green or a green assurance;</w:t>
      </w:r>
    </w:p>
    <w:p w:rsidR="00D22D05" w:rsidRPr="00FA16B5" w:rsidRDefault="00F44CE8" w:rsidP="00D22D0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A16B5">
        <w:rPr>
          <w:rFonts w:ascii="Arial" w:hAnsi="Arial" w:cs="Arial"/>
        </w:rPr>
        <w:t>97</w:t>
      </w:r>
      <w:r w:rsidR="00D22D05" w:rsidRPr="00FA16B5">
        <w:rPr>
          <w:rFonts w:ascii="Arial" w:hAnsi="Arial" w:cs="Arial"/>
        </w:rPr>
        <w:t xml:space="preserve">% of </w:t>
      </w:r>
      <w:r w:rsidR="00231182" w:rsidRPr="00FA16B5">
        <w:rPr>
          <w:rFonts w:ascii="Arial" w:hAnsi="Arial" w:cs="Arial"/>
        </w:rPr>
        <w:t xml:space="preserve">overall </w:t>
      </w:r>
      <w:r w:rsidR="00D22D05" w:rsidRPr="00FA16B5">
        <w:rPr>
          <w:rFonts w:ascii="Arial" w:hAnsi="Arial" w:cs="Arial"/>
        </w:rPr>
        <w:t>recommendations made during 201</w:t>
      </w:r>
      <w:r w:rsidR="00D157D1" w:rsidRPr="00FA16B5">
        <w:rPr>
          <w:rFonts w:ascii="Arial" w:hAnsi="Arial" w:cs="Arial"/>
        </w:rPr>
        <w:t>9</w:t>
      </w:r>
      <w:r w:rsidR="00D22D05" w:rsidRPr="00FA16B5">
        <w:rPr>
          <w:rFonts w:ascii="Arial" w:hAnsi="Arial" w:cs="Arial"/>
        </w:rPr>
        <w:t>/</w:t>
      </w:r>
      <w:r w:rsidR="00D157D1" w:rsidRPr="00FA16B5">
        <w:rPr>
          <w:rFonts w:ascii="Arial" w:hAnsi="Arial" w:cs="Arial"/>
        </w:rPr>
        <w:t>20</w:t>
      </w:r>
      <w:r w:rsidR="00D22D05" w:rsidRPr="00FA16B5">
        <w:rPr>
          <w:rFonts w:ascii="Arial" w:hAnsi="Arial" w:cs="Arial"/>
        </w:rPr>
        <w:t xml:space="preserve"> were agreed by management for implementation</w:t>
      </w:r>
      <w:r w:rsidR="00671215" w:rsidRPr="00FA16B5">
        <w:rPr>
          <w:rFonts w:ascii="Arial" w:hAnsi="Arial" w:cs="Arial"/>
        </w:rPr>
        <w:t>;</w:t>
      </w:r>
    </w:p>
    <w:p w:rsidR="00671215" w:rsidRPr="00FA16B5" w:rsidRDefault="00DB531C" w:rsidP="00D22D0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A16B5">
        <w:rPr>
          <w:rFonts w:ascii="Arial" w:hAnsi="Arial" w:cs="Arial"/>
        </w:rPr>
        <w:t>62</w:t>
      </w:r>
      <w:r w:rsidR="005E5739" w:rsidRPr="00FA16B5">
        <w:rPr>
          <w:rFonts w:ascii="Arial" w:hAnsi="Arial" w:cs="Arial"/>
        </w:rPr>
        <w:t xml:space="preserve">% of recommendations </w:t>
      </w:r>
      <w:r w:rsidR="00636D58" w:rsidRPr="00FA16B5">
        <w:rPr>
          <w:rFonts w:ascii="Arial" w:hAnsi="Arial" w:cs="Arial"/>
        </w:rPr>
        <w:t xml:space="preserve">were implemented/substantially implemented, </w:t>
      </w:r>
      <w:r w:rsidRPr="00FA16B5">
        <w:rPr>
          <w:rFonts w:ascii="Arial" w:hAnsi="Arial" w:cs="Arial"/>
        </w:rPr>
        <w:t>20</w:t>
      </w:r>
      <w:r w:rsidR="00636D58" w:rsidRPr="00FA16B5">
        <w:rPr>
          <w:rFonts w:ascii="Arial" w:hAnsi="Arial" w:cs="Arial"/>
        </w:rPr>
        <w:t xml:space="preserve">% were in progress and </w:t>
      </w:r>
      <w:r w:rsidRPr="00FA16B5">
        <w:rPr>
          <w:rFonts w:ascii="Arial" w:hAnsi="Arial" w:cs="Arial"/>
        </w:rPr>
        <w:t>18</w:t>
      </w:r>
      <w:r w:rsidR="00636D58" w:rsidRPr="00FA16B5">
        <w:rPr>
          <w:rFonts w:ascii="Arial" w:hAnsi="Arial" w:cs="Arial"/>
        </w:rPr>
        <w:t>% were planned at time of follow-up thus it is expected that in due course 100% will be implemented;</w:t>
      </w:r>
    </w:p>
    <w:p w:rsidR="006C3876" w:rsidRPr="00FA16B5" w:rsidRDefault="006C3876" w:rsidP="006C387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A16B5">
        <w:rPr>
          <w:rFonts w:ascii="Arial" w:hAnsi="Arial" w:cs="Arial"/>
        </w:rPr>
        <w:t xml:space="preserve">All follow-ups resulted in an improved assurance rating with </w:t>
      </w:r>
      <w:r w:rsidR="00B95617" w:rsidRPr="00FA16B5">
        <w:rPr>
          <w:rFonts w:ascii="Arial" w:hAnsi="Arial" w:cs="Arial"/>
        </w:rPr>
        <w:t>75</w:t>
      </w:r>
      <w:r w:rsidRPr="00FA16B5">
        <w:rPr>
          <w:rFonts w:ascii="Arial" w:hAnsi="Arial" w:cs="Arial"/>
        </w:rPr>
        <w:t>% attaining  an amber, amber/green or green assurance rating;</w:t>
      </w:r>
    </w:p>
    <w:p w:rsidR="005C125A" w:rsidRDefault="005C125A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0417" w:rsidRDefault="00B90417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1F76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1F76" w:rsidRPr="005C125A" w:rsidRDefault="007E1F76" w:rsidP="005C12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125A" w:rsidRPr="00686AAC" w:rsidRDefault="005C125A" w:rsidP="007244A4">
      <w:pPr>
        <w:shd w:val="clear" w:color="auto" w:fill="17365D" w:themeFill="text2" w:themeFillShade="BF"/>
        <w:spacing w:after="0" w:line="240" w:lineRule="auto"/>
        <w:ind w:left="-142" w:firstLine="142"/>
        <w:rPr>
          <w:rFonts w:ascii="Arial" w:hAnsi="Arial" w:cs="Arial"/>
          <w:b/>
          <w:sz w:val="40"/>
          <w:szCs w:val="40"/>
        </w:rPr>
      </w:pPr>
      <w:r w:rsidRPr="00686AAC">
        <w:rPr>
          <w:rFonts w:ascii="Arial" w:hAnsi="Arial" w:cs="Arial"/>
          <w:b/>
          <w:sz w:val="40"/>
          <w:szCs w:val="40"/>
        </w:rPr>
        <w:lastRenderedPageBreak/>
        <w:t xml:space="preserve">Summary of </w:t>
      </w:r>
      <w:r w:rsidR="00FA16B5">
        <w:rPr>
          <w:rFonts w:ascii="Arial" w:hAnsi="Arial" w:cs="Arial"/>
          <w:b/>
          <w:sz w:val="40"/>
          <w:szCs w:val="40"/>
        </w:rPr>
        <w:t xml:space="preserve">Outputs </w:t>
      </w:r>
    </w:p>
    <w:p w:rsidR="005C125A" w:rsidRDefault="005C125A" w:rsidP="005C125A">
      <w:pPr>
        <w:spacing w:after="0" w:line="240" w:lineRule="auto"/>
      </w:pPr>
    </w:p>
    <w:p w:rsidR="005C125A" w:rsidRPr="00106217" w:rsidRDefault="00F62C5F" w:rsidP="00F62C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6217">
        <w:rPr>
          <w:rFonts w:ascii="Arial" w:hAnsi="Arial" w:cs="Arial"/>
          <w:sz w:val="24"/>
          <w:szCs w:val="24"/>
        </w:rPr>
        <w:t xml:space="preserve">A summary of key </w:t>
      </w:r>
      <w:r w:rsidR="00C41AE9">
        <w:rPr>
          <w:rFonts w:ascii="Arial" w:hAnsi="Arial" w:cs="Arial"/>
          <w:sz w:val="24"/>
          <w:szCs w:val="24"/>
        </w:rPr>
        <w:t>outputs</w:t>
      </w:r>
      <w:r w:rsidR="007B29AB">
        <w:rPr>
          <w:rFonts w:ascii="Arial" w:hAnsi="Arial" w:cs="Arial"/>
          <w:sz w:val="24"/>
          <w:szCs w:val="24"/>
        </w:rPr>
        <w:t>/findings</w:t>
      </w:r>
      <w:r w:rsidRPr="00106217">
        <w:rPr>
          <w:rFonts w:ascii="Arial" w:hAnsi="Arial" w:cs="Arial"/>
          <w:sz w:val="24"/>
          <w:szCs w:val="24"/>
        </w:rPr>
        <w:t xml:space="preserve"> from the programme of internal audit work </w:t>
      </w:r>
      <w:r w:rsidR="00D157D1">
        <w:rPr>
          <w:rFonts w:ascii="Arial" w:hAnsi="Arial" w:cs="Arial"/>
          <w:sz w:val="24"/>
          <w:szCs w:val="24"/>
        </w:rPr>
        <w:t xml:space="preserve">at mid-year </w:t>
      </w:r>
      <w:r w:rsidRPr="00106217">
        <w:rPr>
          <w:rFonts w:ascii="Arial" w:hAnsi="Arial" w:cs="Arial"/>
          <w:sz w:val="24"/>
          <w:szCs w:val="24"/>
        </w:rPr>
        <w:t>is recorded in the table below:</w:t>
      </w:r>
    </w:p>
    <w:p w:rsidR="005C125A" w:rsidRPr="005C125A" w:rsidRDefault="005C125A" w:rsidP="005C125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977"/>
      </w:tblGrid>
      <w:tr w:rsidR="00617135" w:rsidTr="000F59D4">
        <w:tc>
          <w:tcPr>
            <w:tcW w:w="4621" w:type="dxa"/>
            <w:shd w:val="clear" w:color="auto" w:fill="17365D" w:themeFill="text2" w:themeFillShade="BF"/>
          </w:tcPr>
          <w:p w:rsidR="00617135" w:rsidRPr="004E6157" w:rsidRDefault="00617135" w:rsidP="00593142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4E6157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Key </w:t>
            </w:r>
            <w:r w:rsidR="00C41AE9" w:rsidRPr="004E6157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Outputs</w:t>
            </w:r>
            <w:r w:rsidR="00593142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at Mid-Year</w:t>
            </w:r>
          </w:p>
        </w:tc>
        <w:tc>
          <w:tcPr>
            <w:tcW w:w="5977" w:type="dxa"/>
            <w:shd w:val="clear" w:color="auto" w:fill="17365D" w:themeFill="text2" w:themeFillShade="BF"/>
          </w:tcPr>
          <w:p w:rsidR="00617135" w:rsidRDefault="00617135" w:rsidP="005C1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5F" w:rsidTr="000F59D4">
        <w:tc>
          <w:tcPr>
            <w:tcW w:w="4621" w:type="dxa"/>
            <w:shd w:val="clear" w:color="auto" w:fill="17365D" w:themeFill="text2" w:themeFillShade="BF"/>
          </w:tcPr>
          <w:p w:rsidR="00F62C5F" w:rsidRPr="00F62C5F" w:rsidRDefault="00F62C5F" w:rsidP="005C125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5977" w:type="dxa"/>
            <w:shd w:val="clear" w:color="auto" w:fill="17365D" w:themeFill="text2" w:themeFillShade="BF"/>
          </w:tcPr>
          <w:p w:rsidR="00F62C5F" w:rsidRDefault="00F62C5F" w:rsidP="005C1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</w:tr>
      <w:tr w:rsidR="00F62C5F" w:rsidTr="000F59D4">
        <w:tc>
          <w:tcPr>
            <w:tcW w:w="4621" w:type="dxa"/>
          </w:tcPr>
          <w:p w:rsidR="00F62C5F" w:rsidRPr="0094765E" w:rsidRDefault="00C41AE9" w:rsidP="00F62C5F">
            <w:pPr>
              <w:pStyle w:val="NormalWeb"/>
              <w:spacing w:before="0" w:beforeAutospacing="0" w:after="40" w:afterAutospacing="0" w:line="240" w:lineRule="exact"/>
              <w:rPr>
                <w:sz w:val="20"/>
                <w:szCs w:val="20"/>
              </w:rPr>
            </w:pPr>
            <w:r w:rsidRPr="0094765E">
              <w:rPr>
                <w:rFonts w:ascii="Arial" w:eastAsia="+mj-ea" w:hAnsi="Arial" w:cs="+mj-cs"/>
                <w:b/>
                <w:bCs/>
                <w:color w:val="242852"/>
                <w:kern w:val="24"/>
                <w:sz w:val="20"/>
                <w:szCs w:val="20"/>
              </w:rPr>
              <w:t>Audit reports</w:t>
            </w:r>
          </w:p>
          <w:p w:rsidR="00F62C5F" w:rsidRPr="0094765E" w:rsidRDefault="0073322B" w:rsidP="00C41AE9">
            <w:pPr>
              <w:pStyle w:val="NormalWeb"/>
              <w:spacing w:before="0" w:beforeAutospacing="0" w:after="4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FA16B5">
              <w:rPr>
                <w:rFonts w:ascii="Arial" w:eastAsia="+mj-ea" w:hAnsi="Arial" w:cs="+mj-cs"/>
                <w:kern w:val="24"/>
                <w:sz w:val="20"/>
                <w:szCs w:val="20"/>
              </w:rPr>
              <w:t>15</w:t>
            </w:r>
            <w:r w:rsidR="00D157D1" w:rsidRPr="00FA16B5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 </w:t>
            </w:r>
            <w:r w:rsidR="00F62C5F" w:rsidRPr="00FA16B5">
              <w:rPr>
                <w:rFonts w:ascii="Arial" w:eastAsia="+mj-ea" w:hAnsi="Arial" w:cs="+mj-cs"/>
                <w:kern w:val="24"/>
                <w:sz w:val="20"/>
                <w:szCs w:val="20"/>
              </w:rPr>
              <w:t>i</w:t>
            </w:r>
            <w:r w:rsidR="00F62C5F" w:rsidRPr="0094765E">
              <w:rPr>
                <w:rFonts w:ascii="Arial" w:eastAsia="+mj-ea" w:hAnsi="Arial" w:cs="+mj-cs"/>
                <w:kern w:val="24"/>
                <w:sz w:val="20"/>
                <w:szCs w:val="20"/>
              </w:rPr>
              <w:t>nternal audit reviews</w:t>
            </w:r>
            <w:r w:rsidR="00471886" w:rsidRPr="0094765E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 were undertaken resulting in an audit report</w:t>
            </w:r>
            <w:r w:rsidR="00C41AE9" w:rsidRPr="0094765E">
              <w:rPr>
                <w:rFonts w:ascii="Arial" w:eastAsia="+mj-ea" w:hAnsi="Arial" w:cs="+mj-cs"/>
                <w:kern w:val="24"/>
                <w:sz w:val="20"/>
                <w:szCs w:val="20"/>
              </w:rPr>
              <w:t>.</w:t>
            </w:r>
            <w:r w:rsidR="00471886" w:rsidRPr="0094765E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977" w:type="dxa"/>
          </w:tcPr>
          <w:p w:rsidR="00471886" w:rsidRPr="00FA16B5" w:rsidRDefault="00C701ED" w:rsidP="00471886">
            <w:pPr>
              <w:pStyle w:val="ListParagraph"/>
              <w:numPr>
                <w:ilvl w:val="0"/>
                <w:numId w:val="10"/>
              </w:numPr>
              <w:spacing w:after="40"/>
              <w:ind w:left="199" w:hanging="284"/>
              <w:rPr>
                <w:rFonts w:ascii="Arial" w:hAnsi="Arial" w:cs="Arial"/>
                <w:sz w:val="20"/>
                <w:szCs w:val="20"/>
              </w:rPr>
            </w:pPr>
            <w:r w:rsidRPr="00FA16B5">
              <w:rPr>
                <w:rFonts w:ascii="Arial" w:hAnsi="Arial" w:cs="Arial"/>
                <w:sz w:val="20"/>
                <w:szCs w:val="20"/>
              </w:rPr>
              <w:t>6</w:t>
            </w:r>
            <w:r w:rsidR="00C41AE9" w:rsidRPr="00FA16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937" w:rsidRPr="00FA16B5">
              <w:rPr>
                <w:rFonts w:ascii="Arial" w:hAnsi="Arial" w:cs="Arial"/>
                <w:sz w:val="20"/>
                <w:szCs w:val="20"/>
              </w:rPr>
              <w:t>g</w:t>
            </w:r>
            <w:r w:rsidR="00C41AE9" w:rsidRPr="00FA16B5">
              <w:rPr>
                <w:rFonts w:ascii="Arial" w:hAnsi="Arial" w:cs="Arial"/>
                <w:sz w:val="20"/>
                <w:szCs w:val="20"/>
              </w:rPr>
              <w:t xml:space="preserve">reen, </w:t>
            </w:r>
            <w:r w:rsidRPr="00FA16B5">
              <w:rPr>
                <w:rFonts w:ascii="Arial" w:hAnsi="Arial" w:cs="Arial"/>
                <w:sz w:val="20"/>
                <w:szCs w:val="20"/>
              </w:rPr>
              <w:t>6</w:t>
            </w:r>
            <w:r w:rsidR="00C41AE9" w:rsidRPr="00FA16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937" w:rsidRPr="00FA16B5">
              <w:rPr>
                <w:rFonts w:ascii="Arial" w:hAnsi="Arial" w:cs="Arial"/>
                <w:sz w:val="20"/>
                <w:szCs w:val="20"/>
              </w:rPr>
              <w:t>a</w:t>
            </w:r>
            <w:r w:rsidRPr="00FA16B5">
              <w:rPr>
                <w:rFonts w:ascii="Arial" w:hAnsi="Arial" w:cs="Arial"/>
                <w:sz w:val="20"/>
                <w:szCs w:val="20"/>
              </w:rPr>
              <w:t>mber/green</w:t>
            </w:r>
            <w:r w:rsidR="00D157D1" w:rsidRPr="00FA16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6B5">
              <w:rPr>
                <w:rFonts w:ascii="Arial" w:hAnsi="Arial" w:cs="Arial"/>
                <w:sz w:val="20"/>
                <w:szCs w:val="20"/>
              </w:rPr>
              <w:t>and 3</w:t>
            </w:r>
            <w:r w:rsidR="00C41AE9" w:rsidRPr="00FA16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937" w:rsidRPr="00FA16B5">
              <w:rPr>
                <w:rFonts w:ascii="Arial" w:hAnsi="Arial" w:cs="Arial"/>
                <w:sz w:val="20"/>
                <w:szCs w:val="20"/>
              </w:rPr>
              <w:t>a</w:t>
            </w:r>
            <w:r w:rsidR="00CD5EE8" w:rsidRPr="00FA16B5">
              <w:rPr>
                <w:rFonts w:ascii="Arial" w:hAnsi="Arial" w:cs="Arial"/>
                <w:sz w:val="20"/>
                <w:szCs w:val="20"/>
              </w:rPr>
              <w:t>mber</w:t>
            </w:r>
            <w:r w:rsidR="00C41AE9" w:rsidRPr="00FA16B5">
              <w:rPr>
                <w:rFonts w:ascii="Arial" w:hAnsi="Arial" w:cs="Arial"/>
                <w:sz w:val="20"/>
                <w:szCs w:val="20"/>
              </w:rPr>
              <w:t xml:space="preserve"> assurance reports were issued;</w:t>
            </w:r>
          </w:p>
          <w:p w:rsidR="00C41AE9" w:rsidRPr="0094765E" w:rsidRDefault="00C701ED" w:rsidP="00B8344F">
            <w:pPr>
              <w:pStyle w:val="ListParagraph"/>
              <w:numPr>
                <w:ilvl w:val="0"/>
                <w:numId w:val="10"/>
              </w:numPr>
              <w:spacing w:after="40"/>
              <w:ind w:left="199" w:hanging="284"/>
              <w:rPr>
                <w:rFonts w:ascii="Arial" w:hAnsi="Arial" w:cs="Arial"/>
                <w:sz w:val="20"/>
                <w:szCs w:val="20"/>
              </w:rPr>
            </w:pPr>
            <w:r w:rsidRPr="00FA16B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4</w:t>
            </w:r>
            <w:r w:rsidR="00C41AE9" w:rsidRPr="00FA16B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 high risk, </w:t>
            </w:r>
            <w:r w:rsidRPr="00FA16B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21</w:t>
            </w:r>
            <w:r w:rsidR="00C41AE9" w:rsidRPr="00FA16B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 medium risk and </w:t>
            </w:r>
            <w:r w:rsidRPr="00FA16B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13</w:t>
            </w:r>
            <w:r w:rsidR="00B8344F" w:rsidRPr="00FA16B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 l</w:t>
            </w:r>
            <w:r w:rsidR="00C41AE9" w:rsidRPr="00FA16B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ow risk</w:t>
            </w:r>
            <w:r w:rsidR="00C41AE9" w:rsidRPr="00FA16B5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 recommendations were made to improve weaknesses </w:t>
            </w:r>
            <w:r w:rsidR="00C41AE9" w:rsidRPr="0094765E">
              <w:rPr>
                <w:rFonts w:ascii="Arial" w:eastAsia="+mj-ea" w:hAnsi="Arial" w:cs="+mj-cs"/>
                <w:kern w:val="24"/>
                <w:sz w:val="20"/>
                <w:szCs w:val="20"/>
              </w:rPr>
              <w:t>identified in governance</w:t>
            </w:r>
            <w:r w:rsidR="00C41AE9" w:rsidRPr="0094765E">
              <w:rPr>
                <w:rFonts w:ascii="Arial" w:eastAsia="+mj-ea" w:hAnsi="Arial" w:cs="+mj-cs"/>
                <w:color w:val="000000"/>
                <w:kern w:val="24"/>
                <w:sz w:val="20"/>
                <w:szCs w:val="20"/>
              </w:rPr>
              <w:t>, risk management or control.</w:t>
            </w:r>
          </w:p>
        </w:tc>
      </w:tr>
      <w:tr w:rsidR="007B29AB" w:rsidTr="000F59D4">
        <w:tc>
          <w:tcPr>
            <w:tcW w:w="4621" w:type="dxa"/>
          </w:tcPr>
          <w:p w:rsidR="007B29AB" w:rsidRDefault="007B29AB" w:rsidP="00F62C5F">
            <w:pPr>
              <w:pStyle w:val="NormalWeb"/>
              <w:spacing w:before="0" w:beforeAutospacing="0" w:after="40" w:afterAutospacing="0" w:line="240" w:lineRule="exact"/>
              <w:rPr>
                <w:rFonts w:ascii="Arial" w:eastAsia="+mj-ea" w:hAnsi="Arial" w:cs="+mj-cs"/>
                <w:b/>
                <w:bCs/>
                <w:color w:val="242852"/>
                <w:kern w:val="24"/>
                <w:sz w:val="20"/>
                <w:szCs w:val="20"/>
              </w:rPr>
            </w:pPr>
            <w:r>
              <w:rPr>
                <w:rFonts w:ascii="Arial" w:eastAsia="+mj-ea" w:hAnsi="Arial" w:cs="+mj-cs"/>
                <w:b/>
                <w:bCs/>
                <w:color w:val="242852"/>
                <w:kern w:val="24"/>
                <w:sz w:val="20"/>
                <w:szCs w:val="20"/>
              </w:rPr>
              <w:t>Significant weaknesses</w:t>
            </w:r>
          </w:p>
          <w:p w:rsidR="007B29AB" w:rsidRPr="007B29AB" w:rsidRDefault="000F73B2" w:rsidP="00C1096B">
            <w:pPr>
              <w:pStyle w:val="NormalWeb"/>
              <w:spacing w:before="0" w:beforeAutospacing="0" w:after="40" w:afterAutospacing="0" w:line="240" w:lineRule="exact"/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</w:pPr>
            <w:r w:rsidRPr="00FA16B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No </w:t>
            </w:r>
            <w:r w:rsidR="007B29AB" w:rsidRPr="00FA16B5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R</w:t>
            </w:r>
            <w:r w:rsidR="007B29AB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ed and Red/Amber assurance reports </w:t>
            </w:r>
            <w:r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have been issued </w:t>
            </w:r>
            <w:r w:rsidR="00B95617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 xml:space="preserve">at mid-year </w:t>
            </w:r>
            <w:r w:rsidR="007B29AB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201</w:t>
            </w:r>
            <w:r w:rsidR="008902AC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9</w:t>
            </w:r>
            <w:r w:rsidR="007B29AB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/</w:t>
            </w:r>
            <w:r w:rsidR="008902AC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20</w:t>
            </w:r>
            <w:r w:rsidR="007B29AB" w:rsidRPr="007B29AB">
              <w:rPr>
                <w:rFonts w:ascii="Arial" w:eastAsia="+mj-ea" w:hAnsi="Arial" w:cs="+mj-cs"/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5977" w:type="dxa"/>
          </w:tcPr>
          <w:p w:rsidR="00C24881" w:rsidRPr="000F73B2" w:rsidRDefault="00C24881" w:rsidP="000F73B2">
            <w:pPr>
              <w:spacing w:after="40"/>
              <w:ind w:left="-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AE9" w:rsidTr="000F59D4">
        <w:tc>
          <w:tcPr>
            <w:tcW w:w="4621" w:type="dxa"/>
          </w:tcPr>
          <w:p w:rsidR="00C41AE9" w:rsidRPr="00900406" w:rsidRDefault="00C41AE9" w:rsidP="00F62C5F">
            <w:pPr>
              <w:pStyle w:val="NormalWeb"/>
              <w:spacing w:before="0" w:beforeAutospacing="0" w:after="40" w:afterAutospacing="0" w:line="240" w:lineRule="exact"/>
              <w:rPr>
                <w:rFonts w:ascii="Arial" w:eastAsia="+mj-ea" w:hAnsi="Arial" w:cs="+mj-cs"/>
                <w:b/>
                <w:bCs/>
                <w:color w:val="242852"/>
                <w:kern w:val="24"/>
                <w:sz w:val="20"/>
                <w:szCs w:val="20"/>
              </w:rPr>
            </w:pPr>
            <w:r w:rsidRPr="00900406">
              <w:rPr>
                <w:rFonts w:ascii="Arial" w:eastAsia="+mj-ea" w:hAnsi="Arial" w:cs="+mj-cs"/>
                <w:b/>
                <w:bCs/>
                <w:color w:val="242852"/>
                <w:kern w:val="24"/>
                <w:sz w:val="20"/>
                <w:szCs w:val="20"/>
              </w:rPr>
              <w:t>Other audit work</w:t>
            </w:r>
          </w:p>
          <w:p w:rsidR="00C41AE9" w:rsidRPr="0094765E" w:rsidRDefault="00900406" w:rsidP="00B94B8B">
            <w:pPr>
              <w:pStyle w:val="NormalWeb"/>
              <w:spacing w:before="0" w:beforeAutospacing="0" w:after="40" w:afterAutospacing="0" w:line="240" w:lineRule="exact"/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</w:pPr>
            <w:r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>A number of o</w:t>
            </w:r>
            <w:r w:rsidR="00C24881" w:rsidRPr="00900406"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 xml:space="preserve">ther </w:t>
            </w:r>
            <w:r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 xml:space="preserve">pieces of </w:t>
            </w:r>
            <w:r w:rsidR="00C24881" w:rsidRPr="00900406"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>audit work</w:t>
            </w:r>
            <w:r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 xml:space="preserve"> </w:t>
            </w:r>
            <w:r w:rsidR="00B94B8B"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 xml:space="preserve">have been </w:t>
            </w:r>
            <w:r w:rsidR="00C24881" w:rsidRPr="00900406"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>undertaken as part of the 201</w:t>
            </w:r>
            <w:r w:rsidR="00B94B8B"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>9</w:t>
            </w:r>
            <w:r w:rsidR="00C24881" w:rsidRPr="00900406"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>/</w:t>
            </w:r>
            <w:r w:rsidR="00B94B8B"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>20</w:t>
            </w:r>
            <w:r w:rsidR="00C24881" w:rsidRPr="00900406"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>I</w:t>
            </w:r>
            <w:r w:rsidR="00C24881" w:rsidRPr="00900406"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 xml:space="preserve">nternal </w:t>
            </w:r>
            <w:r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>A</w:t>
            </w:r>
            <w:r w:rsidR="00C24881" w:rsidRPr="00900406"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 xml:space="preserve">udit </w:t>
            </w:r>
            <w:r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>P</w:t>
            </w:r>
            <w:r w:rsidR="00C24881" w:rsidRPr="00900406"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>lan</w:t>
            </w:r>
            <w:r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 xml:space="preserve"> that did not result in a traditional audit report</w:t>
            </w:r>
            <w:r w:rsidR="00896149"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 xml:space="preserve"> but </w:t>
            </w:r>
            <w:r w:rsidR="00FA16B5"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>none</w:t>
            </w:r>
            <w:r w:rsidR="00896149"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 xml:space="preserve"> the less added value to the Council’s governance, risk management and control framework</w:t>
            </w:r>
            <w:r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>.</w:t>
            </w:r>
            <w:r w:rsidR="00C24881">
              <w:rPr>
                <w:rFonts w:ascii="Arial" w:eastAsia="+mj-ea" w:hAnsi="Arial" w:cs="+mj-cs"/>
                <w:bCs/>
                <w:color w:val="242852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977" w:type="dxa"/>
          </w:tcPr>
          <w:p w:rsidR="00587C91" w:rsidRDefault="00587C91" w:rsidP="00587C91">
            <w:pPr>
              <w:pStyle w:val="ListParagraph"/>
              <w:numPr>
                <w:ilvl w:val="0"/>
                <w:numId w:val="10"/>
              </w:numPr>
              <w:spacing w:after="40"/>
              <w:ind w:left="19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Management, outputs = Corporate Risk register for Q1, </w:t>
            </w:r>
            <w:r w:rsidR="00B94B8B">
              <w:rPr>
                <w:rFonts w:ascii="Arial" w:hAnsi="Arial" w:cs="Arial"/>
                <w:sz w:val="20"/>
                <w:szCs w:val="20"/>
              </w:rPr>
              <w:t xml:space="preserve">Q2 and </w:t>
            </w:r>
            <w:r>
              <w:rPr>
                <w:rFonts w:ascii="Arial" w:hAnsi="Arial" w:cs="Arial"/>
                <w:sz w:val="20"/>
                <w:szCs w:val="20"/>
              </w:rPr>
              <w:t>Q3 of 201</w:t>
            </w:r>
            <w:r w:rsidR="00B94B8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B94B8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41AE9" w:rsidRDefault="00587C91" w:rsidP="00587C91">
            <w:pPr>
              <w:pStyle w:val="ListParagraph"/>
              <w:numPr>
                <w:ilvl w:val="0"/>
                <w:numId w:val="10"/>
              </w:numPr>
              <w:spacing w:after="40"/>
              <w:ind w:left="19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Governance Board, outputs = pro-active audit input and advice on information governance policy, procedures</w:t>
            </w:r>
            <w:r w:rsidR="00FA16B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issues</w:t>
            </w:r>
            <w:r w:rsidR="00FA16B5">
              <w:rPr>
                <w:rFonts w:ascii="Arial" w:hAnsi="Arial" w:cs="Arial"/>
                <w:sz w:val="20"/>
                <w:szCs w:val="20"/>
              </w:rPr>
              <w:t xml:space="preserve"> and data breaches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96149" w:rsidRDefault="00587C91" w:rsidP="00587C91">
            <w:pPr>
              <w:pStyle w:val="ListParagraph"/>
              <w:numPr>
                <w:ilvl w:val="0"/>
                <w:numId w:val="10"/>
              </w:numPr>
              <w:spacing w:after="40"/>
              <w:ind w:left="19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 a Better Harrow Governance, outputs = </w:t>
            </w:r>
            <w:r w:rsidR="00B94B8B">
              <w:rPr>
                <w:rFonts w:ascii="Arial" w:hAnsi="Arial" w:cs="Arial"/>
                <w:sz w:val="20"/>
                <w:szCs w:val="20"/>
              </w:rPr>
              <w:t xml:space="preserve">continued </w:t>
            </w:r>
            <w:r>
              <w:rPr>
                <w:rFonts w:ascii="Arial" w:hAnsi="Arial" w:cs="Arial"/>
                <w:sz w:val="20"/>
                <w:szCs w:val="20"/>
              </w:rPr>
              <w:t xml:space="preserve">pro-active input into the development of the governance structure and the </w:t>
            </w:r>
            <w:r w:rsidR="00896149">
              <w:rPr>
                <w:rFonts w:ascii="Arial" w:hAnsi="Arial" w:cs="Arial"/>
                <w:sz w:val="20"/>
                <w:szCs w:val="20"/>
              </w:rPr>
              <w:t xml:space="preserve">development of the </w:t>
            </w:r>
            <w:r>
              <w:rPr>
                <w:rFonts w:ascii="Arial" w:hAnsi="Arial" w:cs="Arial"/>
                <w:sz w:val="20"/>
                <w:szCs w:val="20"/>
              </w:rPr>
              <w:t>corporate project management  process</w:t>
            </w:r>
            <w:r w:rsidR="0089614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96149" w:rsidRDefault="00896149" w:rsidP="00587C91">
            <w:pPr>
              <w:pStyle w:val="ListParagraph"/>
              <w:numPr>
                <w:ilvl w:val="0"/>
                <w:numId w:val="10"/>
              </w:numPr>
              <w:spacing w:after="40"/>
              <w:ind w:left="19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SFVS, outputs = review of the school self-assessments against the school financial Value Standard and an assurance report for the Chief Finance Officer;</w:t>
            </w:r>
          </w:p>
          <w:p w:rsidR="00587C91" w:rsidRPr="005E54EB" w:rsidRDefault="00896149" w:rsidP="00587C91">
            <w:pPr>
              <w:pStyle w:val="ListParagraph"/>
              <w:numPr>
                <w:ilvl w:val="0"/>
                <w:numId w:val="10"/>
              </w:numPr>
              <w:spacing w:after="40"/>
              <w:ind w:left="199" w:hanging="284"/>
              <w:rPr>
                <w:rFonts w:ascii="Arial" w:hAnsi="Arial" w:cs="Arial"/>
                <w:sz w:val="20"/>
                <w:szCs w:val="20"/>
              </w:rPr>
            </w:pPr>
            <w:r w:rsidRPr="005E54EB">
              <w:rPr>
                <w:rFonts w:ascii="Arial" w:hAnsi="Arial" w:cs="Arial"/>
                <w:color w:val="000000"/>
                <w:sz w:val="20"/>
                <w:szCs w:val="20"/>
              </w:rPr>
              <w:t xml:space="preserve">Families First (Troubled Families Grant), outputs = validation of the </w:t>
            </w:r>
            <w:r w:rsidR="005E54EB" w:rsidRPr="005E54EB">
              <w:rPr>
                <w:rFonts w:ascii="Arial" w:hAnsi="Arial" w:cs="Arial"/>
                <w:color w:val="000000"/>
                <w:sz w:val="20"/>
                <w:szCs w:val="20"/>
              </w:rPr>
              <w:t>Q1</w:t>
            </w:r>
            <w:r w:rsidRPr="005E54EB">
              <w:rPr>
                <w:rFonts w:ascii="Arial" w:hAnsi="Arial" w:cs="Arial"/>
                <w:color w:val="000000"/>
                <w:sz w:val="20"/>
                <w:szCs w:val="20"/>
              </w:rPr>
              <w:t xml:space="preserve"> grant claim;</w:t>
            </w:r>
            <w:r w:rsidR="00587C91" w:rsidRPr="005E54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6149" w:rsidRPr="0094765E" w:rsidRDefault="00896149" w:rsidP="00C1096B">
            <w:pPr>
              <w:pStyle w:val="ListParagraph"/>
              <w:numPr>
                <w:ilvl w:val="0"/>
                <w:numId w:val="10"/>
              </w:numPr>
              <w:spacing w:after="40"/>
              <w:ind w:left="19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Advice, outputs = the provision of independent professional internal audit advice on a range of topics</w:t>
            </w:r>
            <w:r w:rsidR="00C1096B">
              <w:rPr>
                <w:rFonts w:ascii="Arial" w:hAnsi="Arial" w:cs="Arial"/>
                <w:sz w:val="20"/>
                <w:szCs w:val="20"/>
              </w:rPr>
              <w:t xml:space="preserve"> e.g. Adult Social care Debt; Facilities Management; Joint Venture Governance; School Whistleblowing; Regeneration Manager’s Pay; School conflict of interest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2C5F" w:rsidTr="000F59D4">
        <w:tc>
          <w:tcPr>
            <w:tcW w:w="4621" w:type="dxa"/>
          </w:tcPr>
          <w:p w:rsidR="00856079" w:rsidRPr="0094765E" w:rsidRDefault="00856079" w:rsidP="00856079">
            <w:pPr>
              <w:spacing w:after="40" w:line="240" w:lineRule="exac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94765E">
              <w:rPr>
                <w:rFonts w:ascii="Arial" w:eastAsia="+mj-ea" w:hAnsi="Arial" w:cs="+mj-cs"/>
                <w:b/>
                <w:bCs/>
                <w:color w:val="242852"/>
                <w:kern w:val="24"/>
                <w:sz w:val="20"/>
                <w:szCs w:val="20"/>
                <w:lang w:eastAsia="en-GB"/>
              </w:rPr>
              <w:t>Follow up</w:t>
            </w:r>
          </w:p>
          <w:p w:rsidR="00F62C5F" w:rsidRPr="0094765E" w:rsidRDefault="00B94B8B" w:rsidP="00B94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+mj-ea" w:hAnsi="Arial" w:cs="+mj-cs"/>
                <w:color w:val="000000"/>
                <w:kern w:val="24"/>
                <w:sz w:val="20"/>
                <w:szCs w:val="20"/>
                <w:lang w:eastAsia="en-GB"/>
              </w:rPr>
              <w:t>So far d</w:t>
            </w:r>
            <w:r w:rsidR="00856079" w:rsidRPr="0094765E">
              <w:rPr>
                <w:rFonts w:ascii="Arial" w:eastAsia="+mj-ea" w:hAnsi="Arial" w:cs="+mj-cs"/>
                <w:color w:val="000000"/>
                <w:kern w:val="24"/>
                <w:sz w:val="20"/>
                <w:szCs w:val="20"/>
                <w:lang w:eastAsia="en-GB"/>
              </w:rPr>
              <w:t xml:space="preserve">uring the year we have undertaken follow up work on </w:t>
            </w:r>
            <w:r w:rsidR="00730037">
              <w:rPr>
                <w:rFonts w:ascii="Arial" w:eastAsia="+mj-ea" w:hAnsi="Arial" w:cs="+mj-cs"/>
                <w:color w:val="000000"/>
                <w:kern w:val="24"/>
                <w:sz w:val="20"/>
                <w:szCs w:val="20"/>
                <w:lang w:eastAsia="en-GB"/>
              </w:rPr>
              <w:t xml:space="preserve">the implementation of </w:t>
            </w:r>
            <w:r w:rsidR="00856079" w:rsidRPr="0094765E">
              <w:rPr>
                <w:rFonts w:ascii="Arial" w:eastAsia="+mj-ea" w:hAnsi="Arial" w:cs="+mj-cs"/>
                <w:color w:val="000000"/>
                <w:kern w:val="24"/>
                <w:sz w:val="20"/>
                <w:szCs w:val="20"/>
                <w:lang w:eastAsia="en-GB"/>
              </w:rPr>
              <w:t>previously agreed actions</w:t>
            </w:r>
            <w:r w:rsidR="00730037">
              <w:rPr>
                <w:rFonts w:ascii="Arial" w:eastAsia="+mj-ea" w:hAnsi="Arial" w:cs="+mj-cs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977" w:type="dxa"/>
          </w:tcPr>
          <w:p w:rsidR="00F62C5F" w:rsidRPr="0094765E" w:rsidRDefault="00B95617" w:rsidP="00B95617">
            <w:pPr>
              <w:pStyle w:val="ListParagraph"/>
              <w:numPr>
                <w:ilvl w:val="0"/>
                <w:numId w:val="10"/>
              </w:numPr>
              <w:spacing w:after="40"/>
              <w:ind w:left="199" w:hanging="284"/>
              <w:rPr>
                <w:rFonts w:ascii="Arial" w:hAnsi="Arial" w:cs="Arial"/>
                <w:sz w:val="20"/>
                <w:szCs w:val="20"/>
              </w:rPr>
            </w:pPr>
            <w:r w:rsidRPr="005E54EB">
              <w:rPr>
                <w:rFonts w:ascii="Arial" w:eastAsia="+mj-ea" w:hAnsi="Arial" w:cs="+mj-cs"/>
                <w:kern w:val="24"/>
                <w:sz w:val="20"/>
                <w:szCs w:val="20"/>
              </w:rPr>
              <w:t>4</w:t>
            </w:r>
            <w:r w:rsidR="00B94B8B" w:rsidRPr="005E54EB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 </w:t>
            </w:r>
            <w:r w:rsidR="00F06479" w:rsidRPr="005E54EB">
              <w:rPr>
                <w:rFonts w:ascii="Arial" w:eastAsia="+mj-ea" w:hAnsi="Arial" w:cs="+mj-cs"/>
                <w:kern w:val="24"/>
                <w:sz w:val="20"/>
                <w:szCs w:val="20"/>
              </w:rPr>
              <w:t>follow</w:t>
            </w:r>
            <w:r w:rsidR="00F06479" w:rsidRPr="00C24881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-ups have been </w:t>
            </w:r>
            <w:r w:rsidR="00730037" w:rsidRPr="00C24881">
              <w:rPr>
                <w:rFonts w:ascii="Arial" w:eastAsia="+mj-ea" w:hAnsi="Arial" w:cs="+mj-cs"/>
                <w:kern w:val="24"/>
                <w:sz w:val="20"/>
                <w:szCs w:val="20"/>
              </w:rPr>
              <w:t>completed during 201</w:t>
            </w:r>
            <w:r w:rsidR="00B94B8B">
              <w:rPr>
                <w:rFonts w:ascii="Arial" w:eastAsia="+mj-ea" w:hAnsi="Arial" w:cs="+mj-cs"/>
                <w:kern w:val="24"/>
                <w:sz w:val="20"/>
                <w:szCs w:val="20"/>
              </w:rPr>
              <w:t>9</w:t>
            </w:r>
            <w:r w:rsidR="00730037" w:rsidRPr="00C24881">
              <w:rPr>
                <w:rFonts w:ascii="Arial" w:eastAsia="+mj-ea" w:hAnsi="Arial" w:cs="+mj-cs"/>
                <w:kern w:val="24"/>
                <w:sz w:val="20"/>
                <w:szCs w:val="20"/>
              </w:rPr>
              <w:t>/</w:t>
            </w:r>
            <w:r w:rsidR="00B94B8B">
              <w:rPr>
                <w:rFonts w:ascii="Arial" w:eastAsia="+mj-ea" w:hAnsi="Arial" w:cs="+mj-cs"/>
                <w:kern w:val="24"/>
                <w:sz w:val="20"/>
                <w:szCs w:val="20"/>
              </w:rPr>
              <w:t>20 so far</w:t>
            </w:r>
            <w:r w:rsidR="001C1FDD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. </w:t>
            </w:r>
            <w:r w:rsidR="002B36C4" w:rsidRPr="00B95617">
              <w:rPr>
                <w:rFonts w:ascii="Arial" w:eastAsia="+mj-ea" w:hAnsi="Arial" w:cs="+mj-cs"/>
                <w:color w:val="000000"/>
                <w:kern w:val="24"/>
                <w:sz w:val="20"/>
                <w:szCs w:val="20"/>
              </w:rPr>
              <w:t xml:space="preserve">All completed follow-ups have resulted in an improved assurance rating. </w:t>
            </w:r>
          </w:p>
        </w:tc>
      </w:tr>
      <w:tr w:rsidR="00F62C5F" w:rsidTr="000F59D4">
        <w:tc>
          <w:tcPr>
            <w:tcW w:w="4621" w:type="dxa"/>
          </w:tcPr>
          <w:p w:rsidR="007C3BFB" w:rsidRPr="0094765E" w:rsidRDefault="007C3BFB" w:rsidP="007C3BFB">
            <w:pPr>
              <w:pStyle w:val="NormalWeb"/>
              <w:spacing w:before="0" w:beforeAutospacing="0" w:after="40" w:afterAutospacing="0" w:line="240" w:lineRule="exact"/>
              <w:rPr>
                <w:sz w:val="20"/>
                <w:szCs w:val="20"/>
              </w:rPr>
            </w:pPr>
            <w:r w:rsidRPr="0094765E">
              <w:rPr>
                <w:rFonts w:ascii="Arial" w:eastAsia="+mj-ea" w:hAnsi="Arial" w:cs="+mj-cs"/>
                <w:b/>
                <w:bCs/>
                <w:color w:val="242852"/>
                <w:kern w:val="24"/>
                <w:sz w:val="20"/>
                <w:szCs w:val="20"/>
              </w:rPr>
              <w:t>Good practice</w:t>
            </w:r>
          </w:p>
          <w:p w:rsidR="00F62C5F" w:rsidRPr="0094765E" w:rsidRDefault="007C3BFB" w:rsidP="002B36C4">
            <w:pPr>
              <w:pStyle w:val="NormalWeb"/>
              <w:spacing w:before="0" w:beforeAutospacing="0" w:after="4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94765E">
              <w:rPr>
                <w:rFonts w:ascii="Arial" w:eastAsia="+mj-ea" w:hAnsi="Arial" w:cs="+mj-cs"/>
                <w:color w:val="000000"/>
                <w:kern w:val="24"/>
                <w:sz w:val="20"/>
                <w:szCs w:val="20"/>
              </w:rPr>
              <w:t>We also identified a number of areas where few weaknesses were identified</w:t>
            </w:r>
            <w:r w:rsidR="002B36C4">
              <w:rPr>
                <w:rFonts w:ascii="Arial" w:eastAsia="+mj-ea" w:hAnsi="Arial" w:cs="+mj-cs"/>
                <w:color w:val="000000"/>
                <w:kern w:val="24"/>
                <w:sz w:val="20"/>
                <w:szCs w:val="20"/>
              </w:rPr>
              <w:t>.</w:t>
            </w:r>
            <w:r w:rsidRPr="0094765E">
              <w:rPr>
                <w:rFonts w:ascii="Arial" w:eastAsia="+mj-ea" w:hAnsi="Arial" w:cs="+mj-cs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977" w:type="dxa"/>
          </w:tcPr>
          <w:p w:rsidR="002B36C4" w:rsidRPr="00B95617" w:rsidRDefault="002B36C4" w:rsidP="00C24881">
            <w:pPr>
              <w:pStyle w:val="ListParagraph"/>
              <w:numPr>
                <w:ilvl w:val="0"/>
                <w:numId w:val="10"/>
              </w:numPr>
              <w:spacing w:after="40"/>
              <w:ind w:left="199" w:hanging="284"/>
              <w:rPr>
                <w:sz w:val="20"/>
                <w:szCs w:val="20"/>
              </w:rPr>
            </w:pPr>
            <w:r w:rsidRPr="00B95617">
              <w:rPr>
                <w:rFonts w:ascii="Arial" w:eastAsia="+mj-ea" w:hAnsi="Arial" w:cs="+mj-cs"/>
                <w:kern w:val="24"/>
                <w:sz w:val="20"/>
                <w:szCs w:val="20"/>
              </w:rPr>
              <w:t>The Council’s c</w:t>
            </w:r>
            <w:r w:rsidR="006E14F9" w:rsidRPr="00B95617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ore </w:t>
            </w:r>
            <w:r w:rsidRPr="00B95617">
              <w:rPr>
                <w:rFonts w:ascii="Arial" w:eastAsia="+mj-ea" w:hAnsi="Arial" w:cs="+mj-cs"/>
                <w:kern w:val="24"/>
                <w:sz w:val="20"/>
                <w:szCs w:val="20"/>
              </w:rPr>
              <w:t>f</w:t>
            </w:r>
            <w:r w:rsidR="006E14F9" w:rsidRPr="00B95617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inancial </w:t>
            </w:r>
            <w:r w:rsidRPr="00B95617">
              <w:rPr>
                <w:rFonts w:ascii="Arial" w:eastAsia="+mj-ea" w:hAnsi="Arial" w:cs="+mj-cs"/>
                <w:kern w:val="24"/>
                <w:sz w:val="20"/>
                <w:szCs w:val="20"/>
              </w:rPr>
              <w:t>s</w:t>
            </w:r>
            <w:r w:rsidR="006E14F9" w:rsidRPr="00B95617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ystems </w:t>
            </w:r>
            <w:r w:rsidRPr="00B95617">
              <w:rPr>
                <w:rFonts w:ascii="Arial" w:eastAsia="+mj-ea" w:hAnsi="Arial" w:cs="+mj-cs"/>
                <w:kern w:val="24"/>
                <w:sz w:val="20"/>
                <w:szCs w:val="20"/>
              </w:rPr>
              <w:t>continue to be well controlled with the combined approach of periodic full audit reviews and annual evidence based self-assessments working well;</w:t>
            </w:r>
          </w:p>
          <w:p w:rsidR="006E14F9" w:rsidRPr="005E54EB" w:rsidRDefault="002B36C4" w:rsidP="00C24881">
            <w:pPr>
              <w:pStyle w:val="ListParagraph"/>
              <w:numPr>
                <w:ilvl w:val="0"/>
                <w:numId w:val="10"/>
              </w:numPr>
              <w:spacing w:after="40"/>
              <w:ind w:left="199" w:hanging="284"/>
              <w:rPr>
                <w:sz w:val="20"/>
                <w:szCs w:val="20"/>
              </w:rPr>
            </w:pPr>
            <w:r w:rsidRPr="005E54EB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Overall </w:t>
            </w:r>
            <w:r w:rsidR="006E14F9" w:rsidRPr="005E54EB">
              <w:rPr>
                <w:rFonts w:ascii="Arial" w:eastAsia="+mj-ea" w:hAnsi="Arial" w:cs="+mj-cs"/>
                <w:kern w:val="24"/>
                <w:sz w:val="20"/>
                <w:szCs w:val="20"/>
              </w:rPr>
              <w:t>schools</w:t>
            </w:r>
            <w:r w:rsidRPr="005E54EB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 </w:t>
            </w:r>
            <w:r w:rsidR="007B29AB" w:rsidRPr="005E54EB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also continue to demonstrate a strong level of control over their finances and budgets along with good governance procedures. </w:t>
            </w:r>
            <w:r w:rsidRPr="005E54EB">
              <w:rPr>
                <w:rFonts w:ascii="Arial" w:eastAsia="+mj-ea" w:hAnsi="Arial" w:cs="+mj-cs"/>
                <w:kern w:val="24"/>
                <w:sz w:val="20"/>
                <w:szCs w:val="20"/>
              </w:rPr>
              <w:t xml:space="preserve"> </w:t>
            </w:r>
          </w:p>
          <w:p w:rsidR="00F62C5F" w:rsidRPr="0094765E" w:rsidRDefault="00F62C5F" w:rsidP="007B29AB">
            <w:pPr>
              <w:spacing w:after="40" w:line="240" w:lineRule="auto"/>
              <w:ind w:left="-85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29AB" w:rsidRDefault="007B29AB" w:rsidP="007B29AB">
      <w:pPr>
        <w:shd w:val="clear" w:color="auto" w:fill="FFFFFF" w:themeFill="background1"/>
        <w:spacing w:after="0" w:line="240" w:lineRule="auto"/>
        <w:ind w:left="-142"/>
        <w:rPr>
          <w:rFonts w:ascii="Arial" w:eastAsia="+mj-ea" w:hAnsi="Arial" w:cs="+mj-cs"/>
          <w:b/>
          <w:bCs/>
          <w:iCs/>
          <w:color w:val="002060"/>
          <w:kern w:val="24"/>
          <w:sz w:val="32"/>
          <w:szCs w:val="32"/>
          <w:shd w:val="clear" w:color="auto" w:fill="17365D" w:themeFill="text2" w:themeFillShade="BF"/>
        </w:rPr>
      </w:pPr>
    </w:p>
    <w:p w:rsidR="007B29AB" w:rsidRDefault="007B29AB">
      <w:pPr>
        <w:spacing w:after="0" w:line="240" w:lineRule="auto"/>
        <w:rPr>
          <w:rFonts w:ascii="Arial" w:eastAsia="+mj-ea" w:hAnsi="Arial" w:cs="+mj-cs"/>
          <w:b/>
          <w:bCs/>
          <w:iCs/>
          <w:color w:val="002060"/>
          <w:kern w:val="24"/>
          <w:sz w:val="32"/>
          <w:szCs w:val="32"/>
          <w:shd w:val="clear" w:color="auto" w:fill="17365D" w:themeFill="text2" w:themeFillShade="BF"/>
        </w:rPr>
      </w:pPr>
      <w:r>
        <w:rPr>
          <w:rFonts w:ascii="Arial" w:eastAsia="+mj-ea" w:hAnsi="Arial" w:cs="+mj-cs"/>
          <w:b/>
          <w:bCs/>
          <w:iCs/>
          <w:color w:val="002060"/>
          <w:kern w:val="24"/>
          <w:sz w:val="32"/>
          <w:szCs w:val="32"/>
          <w:shd w:val="clear" w:color="auto" w:fill="17365D" w:themeFill="text2" w:themeFillShade="BF"/>
        </w:rPr>
        <w:br w:type="page"/>
      </w:r>
    </w:p>
    <w:p w:rsidR="00617135" w:rsidRPr="00593142" w:rsidRDefault="003C7099" w:rsidP="007244A4">
      <w:pPr>
        <w:shd w:val="clear" w:color="auto" w:fill="17365D" w:themeFill="text2" w:themeFillShade="BF"/>
        <w:spacing w:after="0" w:line="240" w:lineRule="auto"/>
        <w:ind w:left="-142"/>
        <w:rPr>
          <w:rFonts w:ascii="Arial" w:eastAsia="+mn-ea" w:hAnsi="Arial" w:cs="Arial"/>
          <w:bCs/>
          <w:iCs/>
          <w:color w:val="242852"/>
          <w:kern w:val="24"/>
          <w:sz w:val="32"/>
          <w:szCs w:val="32"/>
        </w:rPr>
      </w:pPr>
      <w:r w:rsidRPr="00593142">
        <w:rPr>
          <w:rFonts w:ascii="Arial" w:eastAsia="+mj-ea" w:hAnsi="Arial" w:cs="+mj-cs"/>
          <w:bCs/>
          <w:iCs/>
          <w:color w:val="002060"/>
          <w:kern w:val="24"/>
          <w:sz w:val="32"/>
          <w:szCs w:val="32"/>
          <w:shd w:val="clear" w:color="auto" w:fill="17365D" w:themeFill="text2" w:themeFillShade="BF"/>
        </w:rPr>
        <w:lastRenderedPageBreak/>
        <w:t xml:space="preserve">Progress against the 2019/20 </w:t>
      </w:r>
      <w:r w:rsidR="007C3BFB" w:rsidRPr="00593142">
        <w:rPr>
          <w:rFonts w:ascii="Arial" w:eastAsia="+mj-ea" w:hAnsi="Arial" w:cs="+mj-cs"/>
          <w:bCs/>
          <w:iCs/>
          <w:color w:val="002060"/>
          <w:kern w:val="24"/>
          <w:sz w:val="32"/>
          <w:szCs w:val="32"/>
          <w:shd w:val="clear" w:color="auto" w:fill="17365D" w:themeFill="text2" w:themeFillShade="BF"/>
        </w:rPr>
        <w:t xml:space="preserve">Internal Audit </w:t>
      </w:r>
      <w:r w:rsidRPr="00593142">
        <w:rPr>
          <w:rFonts w:ascii="Arial" w:eastAsia="+mj-ea" w:hAnsi="Arial" w:cs="+mj-cs"/>
          <w:bCs/>
          <w:iCs/>
          <w:color w:val="002060"/>
          <w:kern w:val="24"/>
          <w:sz w:val="32"/>
          <w:szCs w:val="32"/>
          <w:shd w:val="clear" w:color="auto" w:fill="17365D" w:themeFill="text2" w:themeFillShade="BF"/>
        </w:rPr>
        <w:t xml:space="preserve">Plan </w:t>
      </w:r>
      <w:r w:rsidR="00B95617" w:rsidRPr="00593142">
        <w:rPr>
          <w:rFonts w:ascii="Arial" w:eastAsia="+mj-ea" w:hAnsi="Arial" w:cs="+mj-cs"/>
          <w:bCs/>
          <w:iCs/>
          <w:color w:val="002060"/>
          <w:kern w:val="24"/>
          <w:sz w:val="32"/>
          <w:szCs w:val="32"/>
          <w:shd w:val="clear" w:color="auto" w:fill="17365D" w:themeFill="text2" w:themeFillShade="BF"/>
        </w:rPr>
        <w:t xml:space="preserve">at Mid-Year and Q3 </w:t>
      </w:r>
      <w:r w:rsidRPr="00593142">
        <w:rPr>
          <w:rFonts w:ascii="Arial" w:eastAsia="+mj-ea" w:hAnsi="Arial" w:cs="+mj-cs"/>
          <w:bCs/>
          <w:iCs/>
          <w:color w:val="002060"/>
          <w:kern w:val="24"/>
          <w:sz w:val="32"/>
          <w:szCs w:val="32"/>
          <w:shd w:val="clear" w:color="auto" w:fill="17365D" w:themeFill="text2" w:themeFillShade="BF"/>
        </w:rPr>
        <w:t>including</w:t>
      </w:r>
      <w:r w:rsidR="007C3BFB" w:rsidRPr="00593142">
        <w:rPr>
          <w:rFonts w:ascii="Arial" w:hAnsi="Arial" w:cs="Arial"/>
          <w:sz w:val="32"/>
          <w:szCs w:val="32"/>
        </w:rPr>
        <w:t xml:space="preserve"> </w:t>
      </w:r>
      <w:r w:rsidR="005E54EB" w:rsidRPr="00593142">
        <w:rPr>
          <w:rFonts w:ascii="Arial" w:hAnsi="Arial" w:cs="Arial"/>
          <w:sz w:val="32"/>
          <w:szCs w:val="32"/>
        </w:rPr>
        <w:t>Assurance Results</w:t>
      </w:r>
      <w:r w:rsidR="00B95617" w:rsidRPr="00593142">
        <w:rPr>
          <w:rFonts w:ascii="Arial" w:eastAsia="+mn-ea" w:hAnsi="Arial" w:cs="Arial"/>
          <w:bCs/>
          <w:iCs/>
          <w:kern w:val="24"/>
          <w:sz w:val="32"/>
          <w:szCs w:val="32"/>
        </w:rPr>
        <w:t xml:space="preserve"> of Individual Assignments </w:t>
      </w:r>
    </w:p>
    <w:p w:rsidR="0067101C" w:rsidRDefault="0067101C" w:rsidP="005C12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3BFB" w:rsidRDefault="007C3BFB" w:rsidP="007C3BFB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  <w:lang w:eastAsia="en-GB"/>
        </w:rPr>
      </w:pPr>
      <w:r w:rsidRPr="007C3BFB">
        <w:rPr>
          <w:rFonts w:ascii="Arial" w:eastAsia="+mn-ea" w:hAnsi="Arial" w:cs="Arial"/>
          <w:color w:val="000000"/>
          <w:kern w:val="24"/>
          <w:sz w:val="24"/>
          <w:szCs w:val="24"/>
          <w:lang w:eastAsia="en-GB"/>
        </w:rPr>
        <w:t xml:space="preserve">The table below sets out the results of 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eastAsia="en-GB"/>
        </w:rPr>
        <w:t>the</w:t>
      </w:r>
      <w:r w:rsidRPr="007C3BFB">
        <w:rPr>
          <w:rFonts w:ascii="Arial" w:eastAsia="+mn-ea" w:hAnsi="Arial" w:cs="Arial"/>
          <w:color w:val="000000"/>
          <w:kern w:val="24"/>
          <w:sz w:val="24"/>
          <w:szCs w:val="24"/>
          <w:lang w:eastAsia="en-GB"/>
        </w:rPr>
        <w:t xml:space="preserve"> internal audit work</w:t>
      </w:r>
      <w:r w:rsidR="00AF3BA0">
        <w:rPr>
          <w:rFonts w:ascii="Arial" w:eastAsia="+mn-ea" w:hAnsi="Arial" w:cs="Arial"/>
          <w:color w:val="000000"/>
          <w:kern w:val="24"/>
          <w:sz w:val="24"/>
          <w:szCs w:val="24"/>
          <w:lang w:eastAsia="en-GB"/>
        </w:rPr>
        <w:t xml:space="preserve"> undertaken so far</w:t>
      </w:r>
      <w:r w:rsidR="0034579C">
        <w:rPr>
          <w:rFonts w:ascii="Arial" w:eastAsia="+mn-ea" w:hAnsi="Arial" w:cs="Arial"/>
          <w:color w:val="000000"/>
          <w:kern w:val="24"/>
          <w:sz w:val="24"/>
          <w:szCs w:val="24"/>
          <w:lang w:eastAsia="en-GB"/>
        </w:rPr>
        <w:t>:</w:t>
      </w:r>
      <w:r w:rsidRPr="007C3BFB">
        <w:rPr>
          <w:rFonts w:ascii="Arial" w:eastAsia="+mn-ea" w:hAnsi="Arial" w:cs="Arial"/>
          <w:color w:val="000000"/>
          <w:kern w:val="24"/>
          <w:sz w:val="24"/>
          <w:szCs w:val="24"/>
          <w:lang w:eastAsia="en-GB"/>
        </w:rPr>
        <w:t xml:space="preserve"> </w:t>
      </w:r>
    </w:p>
    <w:p w:rsidR="007C3BFB" w:rsidRDefault="007C3BFB" w:rsidP="007C3BFB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  <w:lang w:eastAsia="en-GB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4638"/>
        <w:gridCol w:w="1417"/>
        <w:gridCol w:w="73"/>
        <w:gridCol w:w="1490"/>
        <w:gridCol w:w="1490"/>
        <w:gridCol w:w="1490"/>
      </w:tblGrid>
      <w:tr w:rsidR="00065E7F" w:rsidTr="00290004">
        <w:trPr>
          <w:trHeight w:val="276"/>
        </w:trPr>
        <w:tc>
          <w:tcPr>
            <w:tcW w:w="4638" w:type="dxa"/>
            <w:shd w:val="clear" w:color="auto" w:fill="17365D" w:themeFill="text2" w:themeFillShade="BF"/>
          </w:tcPr>
          <w:p w:rsidR="00065E7F" w:rsidRDefault="00065E7F" w:rsidP="007C3B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</w:t>
            </w:r>
          </w:p>
        </w:tc>
        <w:tc>
          <w:tcPr>
            <w:tcW w:w="2980" w:type="dxa"/>
            <w:gridSpan w:val="3"/>
            <w:shd w:val="clear" w:color="auto" w:fill="17365D" w:themeFill="text2" w:themeFillShade="BF"/>
          </w:tcPr>
          <w:p w:rsidR="00065E7F" w:rsidRDefault="007D5F62" w:rsidP="00DF3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Assurance</w:t>
            </w:r>
            <w:r w:rsidR="00065E7F">
              <w:rPr>
                <w:rFonts w:ascii="Arial" w:hAnsi="Arial" w:cs="Arial"/>
                <w:sz w:val="24"/>
                <w:szCs w:val="24"/>
              </w:rPr>
              <w:t xml:space="preserve"> Rating</w:t>
            </w:r>
            <w:r w:rsidR="00AF3BA0">
              <w:rPr>
                <w:rFonts w:ascii="Arial" w:hAnsi="Arial" w:cs="Arial"/>
                <w:sz w:val="24"/>
                <w:szCs w:val="24"/>
              </w:rPr>
              <w:t>/</w:t>
            </w:r>
            <w:r w:rsidR="00DF3F6D">
              <w:rPr>
                <w:rFonts w:ascii="Arial" w:hAnsi="Arial" w:cs="Arial"/>
                <w:sz w:val="24"/>
                <w:szCs w:val="24"/>
              </w:rPr>
              <w:t>Mid Year Position</w:t>
            </w:r>
          </w:p>
        </w:tc>
        <w:tc>
          <w:tcPr>
            <w:tcW w:w="2980" w:type="dxa"/>
            <w:gridSpan w:val="2"/>
            <w:shd w:val="clear" w:color="auto" w:fill="17365D" w:themeFill="text2" w:themeFillShade="BF"/>
          </w:tcPr>
          <w:p w:rsidR="00065E7F" w:rsidRDefault="00DF3F6D" w:rsidP="00065E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Q3 Progress</w:t>
            </w:r>
          </w:p>
        </w:tc>
      </w:tr>
      <w:tr w:rsidR="00AF40F1" w:rsidTr="00DF3F6D">
        <w:tc>
          <w:tcPr>
            <w:tcW w:w="10598" w:type="dxa"/>
            <w:gridSpan w:val="6"/>
            <w:shd w:val="clear" w:color="auto" w:fill="8DB3E2" w:themeFill="text2" w:themeFillTint="66"/>
          </w:tcPr>
          <w:p w:rsidR="00AF40F1" w:rsidRPr="00527924" w:rsidRDefault="00AF40F1" w:rsidP="003C70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Corporate </w:t>
            </w:r>
            <w:r w:rsidR="009651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Compliance Che</w:t>
            </w:r>
            <w:r w:rsidR="003C70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cks</w:t>
            </w:r>
          </w:p>
        </w:tc>
      </w:tr>
      <w:tr w:rsidR="00290004" w:rsidTr="00862D1E">
        <w:tc>
          <w:tcPr>
            <w:tcW w:w="4638" w:type="dxa"/>
            <w:tcBorders>
              <w:bottom w:val="single" w:sz="4" w:space="0" w:color="auto"/>
            </w:tcBorders>
          </w:tcPr>
          <w:p w:rsidR="00290004" w:rsidRPr="00A9663B" w:rsidRDefault="00290004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Financial Regulations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0004" w:rsidRPr="00527924" w:rsidRDefault="00290004" w:rsidP="002A5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BA0">
              <w:rPr>
                <w:rFonts w:ascii="Arial" w:hAnsi="Arial" w:cs="Arial"/>
                <w:sz w:val="20"/>
                <w:szCs w:val="20"/>
              </w:rPr>
              <w:t>Likely to be c/f to 20/21 as training not yet undertaken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thinReverseDiagStripe" w:color="auto" w:fill="auto"/>
          </w:tcPr>
          <w:p w:rsidR="00290004" w:rsidRPr="00527924" w:rsidRDefault="00290004" w:rsidP="002900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F6D" w:rsidTr="00290004">
        <w:tc>
          <w:tcPr>
            <w:tcW w:w="4638" w:type="dxa"/>
            <w:tcBorders>
              <w:bottom w:val="single" w:sz="4" w:space="0" w:color="auto"/>
            </w:tcBorders>
          </w:tcPr>
          <w:p w:rsidR="00DF3F6D" w:rsidRPr="00A9663B" w:rsidRDefault="00DF3F6D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Contract Procedure Rules 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3F6D" w:rsidRPr="00AF3BA0" w:rsidRDefault="00DF3F6D" w:rsidP="00AF3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stage</w:t>
            </w:r>
          </w:p>
        </w:tc>
        <w:tc>
          <w:tcPr>
            <w:tcW w:w="2980" w:type="dxa"/>
            <w:gridSpan w:val="2"/>
          </w:tcPr>
          <w:p w:rsidR="00DF3F6D" w:rsidRPr="00527924" w:rsidRDefault="00DF3F6D" w:rsidP="00DF3F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3BA0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</w:tr>
      <w:tr w:rsidR="00DF3F6D" w:rsidTr="00C825E7">
        <w:tc>
          <w:tcPr>
            <w:tcW w:w="4638" w:type="dxa"/>
            <w:tcBorders>
              <w:bottom w:val="single" w:sz="4" w:space="0" w:color="auto"/>
            </w:tcBorders>
          </w:tcPr>
          <w:p w:rsidR="00DF3F6D" w:rsidRPr="00A9663B" w:rsidRDefault="00DF3F6D" w:rsidP="0096515E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2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IR35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3F6D" w:rsidRPr="00AF3BA0" w:rsidRDefault="00DF3F6D" w:rsidP="009651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DF3F6D" w:rsidRPr="00C825E7" w:rsidRDefault="00C825E7" w:rsidP="00C82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5E7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</w:tr>
      <w:tr w:rsidR="00290004" w:rsidTr="00862D1E">
        <w:tc>
          <w:tcPr>
            <w:tcW w:w="4638" w:type="dxa"/>
            <w:tcBorders>
              <w:bottom w:val="single" w:sz="4" w:space="0" w:color="auto"/>
            </w:tcBorders>
          </w:tcPr>
          <w:p w:rsidR="00290004" w:rsidRPr="00A9663B" w:rsidRDefault="00290004" w:rsidP="0096515E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Corporate Project Management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0004" w:rsidRPr="00527924" w:rsidRDefault="00290004" w:rsidP="002900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 not yet implemented therefore may be c/f to 20/21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thinReverseDiagStripe" w:color="auto" w:fill="auto"/>
          </w:tcPr>
          <w:p w:rsidR="00290004" w:rsidRPr="00527924" w:rsidRDefault="00290004" w:rsidP="002900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099" w:rsidTr="00DF3F6D">
        <w:tc>
          <w:tcPr>
            <w:tcW w:w="10598" w:type="dxa"/>
            <w:gridSpan w:val="6"/>
            <w:shd w:val="clear" w:color="auto" w:fill="8DB3E2" w:themeFill="text2" w:themeFillTint="66"/>
          </w:tcPr>
          <w:p w:rsidR="003C7099" w:rsidRPr="00527924" w:rsidRDefault="003C7099" w:rsidP="009651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Corporate Risk Based Reviews</w:t>
            </w:r>
          </w:p>
        </w:tc>
      </w:tr>
      <w:tr w:rsidR="00DF3F6D" w:rsidTr="00290004">
        <w:tc>
          <w:tcPr>
            <w:tcW w:w="4638" w:type="dxa"/>
            <w:tcBorders>
              <w:bottom w:val="single" w:sz="4" w:space="0" w:color="auto"/>
            </w:tcBorders>
          </w:tcPr>
          <w:p w:rsidR="00DF3F6D" w:rsidRPr="00A9663B" w:rsidRDefault="00DF3F6D" w:rsidP="0096515E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Corporate Governance  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3F6D" w:rsidRPr="00AF3BA0" w:rsidRDefault="00DF3F6D" w:rsidP="00DF3F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2018/19 annual review of governance completed in Q1</w:t>
            </w:r>
          </w:p>
        </w:tc>
        <w:tc>
          <w:tcPr>
            <w:tcW w:w="2980" w:type="dxa"/>
            <w:gridSpan w:val="2"/>
          </w:tcPr>
          <w:p w:rsidR="00DF3F6D" w:rsidRPr="00527924" w:rsidRDefault="00DF3F6D" w:rsidP="00DF3F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2019/20 annual review of governance to commence Q4</w:t>
            </w:r>
          </w:p>
        </w:tc>
      </w:tr>
      <w:tr w:rsidR="00DF3F6D" w:rsidTr="00290004">
        <w:tc>
          <w:tcPr>
            <w:tcW w:w="4638" w:type="dxa"/>
            <w:tcBorders>
              <w:bottom w:val="single" w:sz="4" w:space="0" w:color="auto"/>
            </w:tcBorders>
          </w:tcPr>
          <w:p w:rsidR="00DF3F6D" w:rsidRPr="00A9663B" w:rsidRDefault="00DF3F6D" w:rsidP="0096515E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Risk Management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3F6D" w:rsidRPr="00AF3BA0" w:rsidRDefault="00DF3F6D" w:rsidP="00DF3F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Risk Register updated for Q1</w:t>
            </w:r>
          </w:p>
        </w:tc>
        <w:tc>
          <w:tcPr>
            <w:tcW w:w="2980" w:type="dxa"/>
            <w:gridSpan w:val="2"/>
          </w:tcPr>
          <w:p w:rsidR="00DF3F6D" w:rsidRPr="00527924" w:rsidRDefault="00DF3F6D" w:rsidP="00DF3F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Risk Register updated for Q2 &amp; 3</w:t>
            </w:r>
          </w:p>
        </w:tc>
      </w:tr>
      <w:tr w:rsidR="00290004" w:rsidTr="00290004">
        <w:tc>
          <w:tcPr>
            <w:tcW w:w="4638" w:type="dxa"/>
            <w:tcBorders>
              <w:bottom w:val="single" w:sz="4" w:space="0" w:color="auto"/>
            </w:tcBorders>
          </w:tcPr>
          <w:p w:rsidR="00290004" w:rsidRPr="00A9663B" w:rsidRDefault="00290004" w:rsidP="0096515E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Information Governance Board (IGB)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0004" w:rsidRPr="00527924" w:rsidRDefault="00290004" w:rsidP="002A5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HIA’s attendance of the </w:t>
            </w:r>
            <w:r w:rsidR="002A551A">
              <w:rPr>
                <w:rFonts w:ascii="Arial" w:hAnsi="Arial" w:cs="Arial"/>
                <w:sz w:val="20"/>
                <w:szCs w:val="20"/>
              </w:rPr>
              <w:t>Q1 &amp; Q2</w:t>
            </w:r>
            <w:r>
              <w:rPr>
                <w:rFonts w:ascii="Arial" w:hAnsi="Arial" w:cs="Arial"/>
                <w:sz w:val="20"/>
                <w:szCs w:val="20"/>
              </w:rPr>
              <w:t xml:space="preserve"> IGB meetings providing pro-active audit input and advice on information governance policy, procedures and issues.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0004" w:rsidRPr="00527924" w:rsidRDefault="002A551A" w:rsidP="002A5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HIA’s attendance of the Q3 IGB meeting</w:t>
            </w:r>
          </w:p>
        </w:tc>
      </w:tr>
      <w:tr w:rsidR="00290004" w:rsidTr="00290004">
        <w:tc>
          <w:tcPr>
            <w:tcW w:w="4638" w:type="dxa"/>
            <w:tcBorders>
              <w:bottom w:val="single" w:sz="4" w:space="0" w:color="auto"/>
            </w:tcBorders>
          </w:tcPr>
          <w:p w:rsidR="00290004" w:rsidRPr="00A9663B" w:rsidRDefault="00290004" w:rsidP="0096515E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Budget Process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0004" w:rsidRPr="00527924" w:rsidRDefault="00290004" w:rsidP="002A5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support and advice to the S151 Officer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0004" w:rsidRPr="00527924" w:rsidRDefault="002A551A" w:rsidP="002A5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support and advice to the S151 Officer</w:t>
            </w:r>
          </w:p>
        </w:tc>
      </w:tr>
      <w:tr w:rsidR="00290004" w:rsidTr="00290004">
        <w:tc>
          <w:tcPr>
            <w:tcW w:w="4638" w:type="dxa"/>
            <w:tcBorders>
              <w:bottom w:val="single" w:sz="4" w:space="0" w:color="auto"/>
            </w:tcBorders>
          </w:tcPr>
          <w:p w:rsidR="00290004" w:rsidRPr="00A9663B" w:rsidRDefault="00290004" w:rsidP="0096515E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25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 a Better Harrow Governance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0004" w:rsidRPr="00527924" w:rsidRDefault="00290004" w:rsidP="002A5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25EB6">
              <w:rPr>
                <w:rFonts w:ascii="Arial" w:hAnsi="Arial" w:cs="Arial"/>
                <w:sz w:val="20"/>
                <w:szCs w:val="20"/>
              </w:rPr>
              <w:t>n- going input to the development of governance arrangements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0004" w:rsidRPr="00527924" w:rsidRDefault="003069CF" w:rsidP="0030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DF3F6D" w:rsidTr="00290004">
        <w:tc>
          <w:tcPr>
            <w:tcW w:w="4638" w:type="dxa"/>
            <w:tcBorders>
              <w:bottom w:val="single" w:sz="4" w:space="0" w:color="auto"/>
            </w:tcBorders>
          </w:tcPr>
          <w:p w:rsidR="00DF3F6D" w:rsidRPr="00A9663B" w:rsidRDefault="00DF3F6D" w:rsidP="00E25EB6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25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Corporate Health &amp; Safety - Schools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3F6D" w:rsidRPr="00AF3BA0" w:rsidRDefault="00DF3F6D" w:rsidP="009651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Due </w:t>
            </w:r>
            <w:r w:rsidR="009572F4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>Q3</w:t>
            </w:r>
          </w:p>
        </w:tc>
        <w:tc>
          <w:tcPr>
            <w:tcW w:w="2980" w:type="dxa"/>
            <w:gridSpan w:val="2"/>
          </w:tcPr>
          <w:p w:rsidR="00DF3F6D" w:rsidRPr="00527924" w:rsidRDefault="00DF3F6D" w:rsidP="00DF3F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to be undertaken Q4</w:t>
            </w:r>
          </w:p>
        </w:tc>
      </w:tr>
      <w:tr w:rsidR="00DF3F6D" w:rsidTr="00290004">
        <w:tc>
          <w:tcPr>
            <w:tcW w:w="4638" w:type="dxa"/>
            <w:tcBorders>
              <w:bottom w:val="single" w:sz="4" w:space="0" w:color="auto"/>
            </w:tcBorders>
          </w:tcPr>
          <w:p w:rsidR="00DF3F6D" w:rsidRPr="00A9663B" w:rsidRDefault="00DF3F6D" w:rsidP="00E25EB6">
            <w:pPr>
              <w:tabs>
                <w:tab w:val="left" w:pos="-567"/>
              </w:tabs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25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Social Value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3F6D" w:rsidRPr="00AF3BA0" w:rsidRDefault="00DF3F6D" w:rsidP="00E25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stage</w:t>
            </w:r>
          </w:p>
        </w:tc>
        <w:tc>
          <w:tcPr>
            <w:tcW w:w="2980" w:type="dxa"/>
            <w:gridSpan w:val="2"/>
          </w:tcPr>
          <w:p w:rsidR="00DF3F6D" w:rsidRPr="00527924" w:rsidRDefault="002A551A" w:rsidP="009572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</w:tr>
      <w:tr w:rsidR="00DF3F6D" w:rsidTr="00862D1E">
        <w:tc>
          <w:tcPr>
            <w:tcW w:w="4638" w:type="dxa"/>
            <w:tcBorders>
              <w:bottom w:val="single" w:sz="4" w:space="0" w:color="auto"/>
            </w:tcBorders>
          </w:tcPr>
          <w:p w:rsidR="00DF3F6D" w:rsidRPr="00E25EB6" w:rsidRDefault="00DF3F6D" w:rsidP="00E25EB6">
            <w:pPr>
              <w:tabs>
                <w:tab w:val="left" w:pos="-567"/>
              </w:tabs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GDPR c/f 2018/19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DF3F6D" w:rsidRPr="005F5CAC" w:rsidRDefault="00DF3F6D" w:rsidP="007332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CAC">
              <w:rPr>
                <w:rFonts w:ascii="Arial" w:hAnsi="Arial" w:cs="Arial"/>
                <w:b/>
                <w:sz w:val="20"/>
                <w:szCs w:val="20"/>
              </w:rPr>
              <w:t>AMBER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92D050"/>
          </w:tcPr>
          <w:p w:rsidR="00DF3F6D" w:rsidRPr="005F5CAC" w:rsidRDefault="00DF3F6D" w:rsidP="007332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CAC">
              <w:rPr>
                <w:rFonts w:ascii="Arial" w:hAnsi="Arial" w:cs="Arial"/>
                <w:b/>
                <w:sz w:val="20"/>
                <w:szCs w:val="20"/>
              </w:rPr>
              <w:t>GREEN</w:t>
            </w:r>
          </w:p>
        </w:tc>
        <w:tc>
          <w:tcPr>
            <w:tcW w:w="2980" w:type="dxa"/>
            <w:gridSpan w:val="2"/>
            <w:shd w:val="thinReverseDiagStripe" w:color="auto" w:fill="auto"/>
          </w:tcPr>
          <w:p w:rsidR="00DF3F6D" w:rsidRPr="00527924" w:rsidRDefault="00DF3F6D" w:rsidP="009651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F6D" w:rsidTr="00290004">
        <w:tc>
          <w:tcPr>
            <w:tcW w:w="4638" w:type="dxa"/>
            <w:tcBorders>
              <w:bottom w:val="single" w:sz="4" w:space="0" w:color="auto"/>
            </w:tcBorders>
          </w:tcPr>
          <w:p w:rsidR="00DF3F6D" w:rsidRPr="00E25EB6" w:rsidRDefault="00DF3F6D" w:rsidP="00E25EB6">
            <w:pPr>
              <w:tabs>
                <w:tab w:val="left" w:pos="-567"/>
              </w:tabs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 System Security – PAWS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3F6D" w:rsidRDefault="009572F4" w:rsidP="00E25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stage</w:t>
            </w:r>
          </w:p>
        </w:tc>
        <w:tc>
          <w:tcPr>
            <w:tcW w:w="2980" w:type="dxa"/>
            <w:gridSpan w:val="2"/>
          </w:tcPr>
          <w:p w:rsidR="00DF3F6D" w:rsidRPr="00527924" w:rsidRDefault="009572F4" w:rsidP="009572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</w:tr>
      <w:tr w:rsidR="00DF3F6D" w:rsidTr="00290004">
        <w:tc>
          <w:tcPr>
            <w:tcW w:w="4638" w:type="dxa"/>
            <w:tcBorders>
              <w:bottom w:val="single" w:sz="4" w:space="0" w:color="auto"/>
            </w:tcBorders>
          </w:tcPr>
          <w:p w:rsidR="00DF3F6D" w:rsidRPr="00E25EB6" w:rsidRDefault="00DF3F6D" w:rsidP="00E25EB6">
            <w:pPr>
              <w:tabs>
                <w:tab w:val="left" w:pos="-567"/>
              </w:tabs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Devolved Application Teams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3F6D" w:rsidRDefault="009572F4" w:rsidP="00E25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requested a delay to Q4</w:t>
            </w:r>
          </w:p>
        </w:tc>
        <w:tc>
          <w:tcPr>
            <w:tcW w:w="2980" w:type="dxa"/>
            <w:gridSpan w:val="2"/>
          </w:tcPr>
          <w:p w:rsidR="00DF3F6D" w:rsidRPr="00527924" w:rsidRDefault="009572F4" w:rsidP="009572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Planned for Q4</w:t>
            </w:r>
          </w:p>
        </w:tc>
      </w:tr>
      <w:tr w:rsidR="00290004" w:rsidTr="00290004">
        <w:tc>
          <w:tcPr>
            <w:tcW w:w="4638" w:type="dxa"/>
            <w:tcBorders>
              <w:bottom w:val="single" w:sz="4" w:space="0" w:color="auto"/>
            </w:tcBorders>
          </w:tcPr>
          <w:p w:rsidR="00290004" w:rsidRPr="00E25EB6" w:rsidRDefault="00290004" w:rsidP="00E25EB6">
            <w:pPr>
              <w:tabs>
                <w:tab w:val="left" w:pos="-567"/>
              </w:tabs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SAP Replacement Project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0004" w:rsidRPr="00527924" w:rsidRDefault="00290004" w:rsidP="00290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support and input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0004" w:rsidRPr="00527924" w:rsidRDefault="002A551A" w:rsidP="002A5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support and input</w:t>
            </w:r>
          </w:p>
        </w:tc>
      </w:tr>
      <w:tr w:rsidR="00DF3F6D" w:rsidTr="00290004">
        <w:tc>
          <w:tcPr>
            <w:tcW w:w="4638" w:type="dxa"/>
            <w:tcBorders>
              <w:bottom w:val="single" w:sz="4" w:space="0" w:color="auto"/>
            </w:tcBorders>
          </w:tcPr>
          <w:p w:rsidR="00DF3F6D" w:rsidRDefault="00DF3F6D" w:rsidP="00E25EB6">
            <w:pPr>
              <w:tabs>
                <w:tab w:val="left" w:pos="-567"/>
              </w:tabs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2CB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eastAsia="en-GB"/>
              </w:rPr>
              <w:t>Sancroft</w:t>
            </w:r>
            <w:proofErr w:type="spellEnd"/>
            <w:r w:rsidRPr="00982CB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 w:themeFill="background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c/f 2018/19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3F6D" w:rsidRDefault="00DF3F6D" w:rsidP="00E25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DF3F6D" w:rsidRPr="00527924" w:rsidRDefault="003069CF" w:rsidP="0030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5E7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</w:tr>
      <w:tr w:rsidR="003C7099" w:rsidTr="00DF3F6D">
        <w:tc>
          <w:tcPr>
            <w:tcW w:w="10598" w:type="dxa"/>
            <w:gridSpan w:val="6"/>
            <w:shd w:val="clear" w:color="auto" w:fill="95B3D7" w:themeFill="accent1" w:themeFillTint="99"/>
          </w:tcPr>
          <w:p w:rsidR="003C7099" w:rsidRPr="00166E50" w:rsidRDefault="003C7099" w:rsidP="0096515E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Resources Directorate + Core Financial Systems</w:t>
            </w:r>
          </w:p>
        </w:tc>
      </w:tr>
      <w:tr w:rsidR="00DF3F6D" w:rsidTr="00862D1E">
        <w:tc>
          <w:tcPr>
            <w:tcW w:w="4638" w:type="dxa"/>
          </w:tcPr>
          <w:p w:rsidR="00DF3F6D" w:rsidRPr="00B35E82" w:rsidRDefault="00DF3F6D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5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Payroll</w:t>
            </w:r>
          </w:p>
        </w:tc>
        <w:tc>
          <w:tcPr>
            <w:tcW w:w="2980" w:type="dxa"/>
            <w:gridSpan w:val="3"/>
            <w:shd w:val="clear" w:color="auto" w:fill="92D050"/>
          </w:tcPr>
          <w:p w:rsidR="00DF3F6D" w:rsidRPr="009C63B6" w:rsidRDefault="00DF3F6D" w:rsidP="0073322B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6E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80" w:type="dxa"/>
            <w:gridSpan w:val="2"/>
            <w:shd w:val="thinReverseDiagStripe" w:color="auto" w:fill="FFFFFF" w:themeFill="background1"/>
          </w:tcPr>
          <w:p w:rsidR="00DF3F6D" w:rsidRPr="009F02F0" w:rsidRDefault="00DF3F6D" w:rsidP="007C6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F6D" w:rsidTr="00862D1E">
        <w:tc>
          <w:tcPr>
            <w:tcW w:w="4638" w:type="dxa"/>
          </w:tcPr>
          <w:p w:rsidR="00DF3F6D" w:rsidRPr="00B35E82" w:rsidRDefault="00DF3F6D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5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Council Tax </w:t>
            </w:r>
          </w:p>
        </w:tc>
        <w:tc>
          <w:tcPr>
            <w:tcW w:w="1417" w:type="dxa"/>
            <w:shd w:val="clear" w:color="auto" w:fill="FFC000"/>
          </w:tcPr>
          <w:p w:rsidR="00DF3F6D" w:rsidRPr="002C4014" w:rsidRDefault="00DF3F6D" w:rsidP="0073322B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563" w:type="dxa"/>
            <w:gridSpan w:val="2"/>
            <w:shd w:val="clear" w:color="auto" w:fill="92D050"/>
          </w:tcPr>
          <w:p w:rsidR="00DF3F6D" w:rsidRPr="002C4014" w:rsidRDefault="00DF3F6D" w:rsidP="0073322B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80" w:type="dxa"/>
            <w:gridSpan w:val="2"/>
            <w:shd w:val="thinReverseDiagStripe" w:color="auto" w:fill="FFFFFF" w:themeFill="background1"/>
          </w:tcPr>
          <w:p w:rsidR="00DF3F6D" w:rsidRPr="009F02F0" w:rsidRDefault="00DF3F6D" w:rsidP="007C6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F6D" w:rsidRPr="00AF40F1" w:rsidTr="00862D1E">
        <w:tc>
          <w:tcPr>
            <w:tcW w:w="4638" w:type="dxa"/>
          </w:tcPr>
          <w:p w:rsidR="00DF3F6D" w:rsidRPr="00AF40F1" w:rsidRDefault="00DF3F6D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F4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Corporate Accounts Receivable </w:t>
            </w:r>
          </w:p>
        </w:tc>
        <w:tc>
          <w:tcPr>
            <w:tcW w:w="2980" w:type="dxa"/>
            <w:gridSpan w:val="3"/>
            <w:shd w:val="clear" w:color="auto" w:fill="92D050"/>
          </w:tcPr>
          <w:p w:rsidR="00DF3F6D" w:rsidRPr="00AF40F1" w:rsidRDefault="00DF3F6D" w:rsidP="0073322B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F40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80" w:type="dxa"/>
            <w:gridSpan w:val="2"/>
            <w:shd w:val="thinReverseDiagStripe" w:color="auto" w:fill="FFFFFF" w:themeFill="background1"/>
          </w:tcPr>
          <w:p w:rsidR="00DF3F6D" w:rsidRPr="009F02F0" w:rsidRDefault="00DF3F6D" w:rsidP="009F0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F6D" w:rsidTr="00862D1E">
        <w:tc>
          <w:tcPr>
            <w:tcW w:w="4638" w:type="dxa"/>
          </w:tcPr>
          <w:p w:rsidR="00DF3F6D" w:rsidRPr="00B35E82" w:rsidRDefault="00DF3F6D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5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Corporate Accounts Payable </w:t>
            </w:r>
          </w:p>
        </w:tc>
        <w:tc>
          <w:tcPr>
            <w:tcW w:w="2980" w:type="dxa"/>
            <w:gridSpan w:val="3"/>
            <w:shd w:val="clear" w:color="auto" w:fill="92D050"/>
          </w:tcPr>
          <w:p w:rsidR="00DF3F6D" w:rsidRPr="009C63B6" w:rsidRDefault="00DF3F6D" w:rsidP="0073322B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6E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80" w:type="dxa"/>
            <w:gridSpan w:val="2"/>
            <w:shd w:val="thinReverseDiagStripe" w:color="auto" w:fill="FFFFFF" w:themeFill="background1"/>
          </w:tcPr>
          <w:p w:rsidR="00DF3F6D" w:rsidRPr="009F02F0" w:rsidRDefault="00DF3F6D" w:rsidP="009F0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F6D" w:rsidTr="00862D1E">
        <w:tc>
          <w:tcPr>
            <w:tcW w:w="4638" w:type="dxa"/>
          </w:tcPr>
          <w:p w:rsidR="00DF3F6D" w:rsidRPr="00B35E82" w:rsidRDefault="00DF3F6D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5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Rates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7" w:type="dxa"/>
            <w:shd w:val="clear" w:color="auto" w:fill="FFC000"/>
          </w:tcPr>
          <w:p w:rsidR="00DF3F6D" w:rsidRPr="009C63B6" w:rsidRDefault="00DF3F6D" w:rsidP="0073322B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563" w:type="dxa"/>
            <w:gridSpan w:val="2"/>
            <w:shd w:val="clear" w:color="auto" w:fill="92D050"/>
          </w:tcPr>
          <w:p w:rsidR="00DF3F6D" w:rsidRPr="009C63B6" w:rsidRDefault="00DF3F6D" w:rsidP="0073322B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6E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80" w:type="dxa"/>
            <w:gridSpan w:val="2"/>
            <w:shd w:val="thinReverseDiagStripe" w:color="auto" w:fill="FFFFFF" w:themeFill="background1"/>
          </w:tcPr>
          <w:p w:rsidR="00DF3F6D" w:rsidRPr="009F02F0" w:rsidRDefault="00DF3F6D" w:rsidP="009F0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F6D" w:rsidTr="00862D1E">
        <w:tc>
          <w:tcPr>
            <w:tcW w:w="4638" w:type="dxa"/>
          </w:tcPr>
          <w:p w:rsidR="00DF3F6D" w:rsidRPr="00B35E82" w:rsidRDefault="00DF3F6D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5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Capital Expenditure </w:t>
            </w:r>
          </w:p>
        </w:tc>
        <w:tc>
          <w:tcPr>
            <w:tcW w:w="1417" w:type="dxa"/>
            <w:shd w:val="clear" w:color="auto" w:fill="FFC000"/>
          </w:tcPr>
          <w:p w:rsidR="00DF3F6D" w:rsidRPr="009C63B6" w:rsidRDefault="00DF3F6D" w:rsidP="0073322B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563" w:type="dxa"/>
            <w:gridSpan w:val="2"/>
            <w:shd w:val="clear" w:color="auto" w:fill="92D050"/>
          </w:tcPr>
          <w:p w:rsidR="00DF3F6D" w:rsidRPr="009C63B6" w:rsidRDefault="00DF3F6D" w:rsidP="0073322B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6E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80" w:type="dxa"/>
            <w:gridSpan w:val="2"/>
            <w:shd w:val="thinReverseDiagStripe" w:color="auto" w:fill="FFFFFF" w:themeFill="background1"/>
          </w:tcPr>
          <w:p w:rsidR="00DF3F6D" w:rsidRPr="009F02F0" w:rsidRDefault="00DF3F6D" w:rsidP="009F0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F6D" w:rsidTr="00862D1E">
        <w:tc>
          <w:tcPr>
            <w:tcW w:w="4638" w:type="dxa"/>
          </w:tcPr>
          <w:p w:rsidR="00DF3F6D" w:rsidRPr="00B35E82" w:rsidRDefault="00DF3F6D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Housing Benefit</w:t>
            </w:r>
            <w:r w:rsidRPr="00B35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80" w:type="dxa"/>
            <w:gridSpan w:val="3"/>
            <w:shd w:val="clear" w:color="auto" w:fill="92D050"/>
          </w:tcPr>
          <w:p w:rsidR="00DF3F6D" w:rsidRPr="009C63B6" w:rsidRDefault="00DF3F6D" w:rsidP="0073322B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6E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80" w:type="dxa"/>
            <w:gridSpan w:val="2"/>
            <w:shd w:val="thinReverseDiagStripe" w:color="auto" w:fill="FFFFFF" w:themeFill="background1"/>
          </w:tcPr>
          <w:p w:rsidR="00DF3F6D" w:rsidRPr="009F02F0" w:rsidRDefault="00DF3F6D" w:rsidP="009F0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F6D" w:rsidTr="00862D1E">
        <w:tc>
          <w:tcPr>
            <w:tcW w:w="4638" w:type="dxa"/>
          </w:tcPr>
          <w:p w:rsidR="00DF3F6D" w:rsidRPr="00B35E82" w:rsidRDefault="00DF3F6D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5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Housing Rents </w:t>
            </w:r>
          </w:p>
        </w:tc>
        <w:tc>
          <w:tcPr>
            <w:tcW w:w="2980" w:type="dxa"/>
            <w:gridSpan w:val="3"/>
            <w:shd w:val="clear" w:color="auto" w:fill="92D050"/>
          </w:tcPr>
          <w:p w:rsidR="00DF3F6D" w:rsidRPr="009C63B6" w:rsidRDefault="00DF3F6D" w:rsidP="0073322B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6E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80" w:type="dxa"/>
            <w:gridSpan w:val="2"/>
            <w:shd w:val="thinReverseDiagStripe" w:color="auto" w:fill="FFFFFF" w:themeFill="background1"/>
          </w:tcPr>
          <w:p w:rsidR="00DF3F6D" w:rsidRPr="009F02F0" w:rsidRDefault="00DF3F6D" w:rsidP="009F0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F6D" w:rsidTr="00862D1E">
        <w:tc>
          <w:tcPr>
            <w:tcW w:w="4638" w:type="dxa"/>
          </w:tcPr>
          <w:p w:rsidR="00DF3F6D" w:rsidRPr="00B35E82" w:rsidRDefault="00DF3F6D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5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Treasury </w:t>
            </w:r>
          </w:p>
        </w:tc>
        <w:tc>
          <w:tcPr>
            <w:tcW w:w="2980" w:type="dxa"/>
            <w:gridSpan w:val="3"/>
            <w:shd w:val="clear" w:color="auto" w:fill="92D050"/>
          </w:tcPr>
          <w:p w:rsidR="00DF3F6D" w:rsidRPr="009C63B6" w:rsidRDefault="00DF3F6D" w:rsidP="0073322B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6E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80" w:type="dxa"/>
            <w:gridSpan w:val="2"/>
            <w:shd w:val="thinReverseDiagStripe" w:color="auto" w:fill="FFFFFF" w:themeFill="background1"/>
          </w:tcPr>
          <w:p w:rsidR="00DF3F6D" w:rsidRPr="009F02F0" w:rsidRDefault="00DF3F6D" w:rsidP="009F0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F6D" w:rsidTr="00290004">
        <w:tc>
          <w:tcPr>
            <w:tcW w:w="4638" w:type="dxa"/>
          </w:tcPr>
          <w:p w:rsidR="00DF3F6D" w:rsidRPr="00B35E82" w:rsidRDefault="00DF3F6D" w:rsidP="00753F90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Emergency Planning</w:t>
            </w:r>
          </w:p>
        </w:tc>
        <w:tc>
          <w:tcPr>
            <w:tcW w:w="2980" w:type="dxa"/>
            <w:gridSpan w:val="3"/>
            <w:shd w:val="clear" w:color="auto" w:fill="auto"/>
          </w:tcPr>
          <w:p w:rsidR="00DF3F6D" w:rsidRDefault="00DF3F6D" w:rsidP="00290004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Due </w:t>
            </w:r>
            <w:r w:rsidR="00290004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 xml:space="preserve">Q3 </w:t>
            </w:r>
          </w:p>
        </w:tc>
        <w:tc>
          <w:tcPr>
            <w:tcW w:w="2980" w:type="dxa"/>
            <w:gridSpan w:val="2"/>
          </w:tcPr>
          <w:p w:rsidR="00DF3F6D" w:rsidRPr="009F02F0" w:rsidRDefault="00290004" w:rsidP="00290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Slightly behind schedule to be undertaken Q4</w:t>
            </w:r>
          </w:p>
        </w:tc>
      </w:tr>
      <w:tr w:rsidR="00DF3F6D" w:rsidTr="00290004">
        <w:tc>
          <w:tcPr>
            <w:tcW w:w="4638" w:type="dxa"/>
            <w:tcBorders>
              <w:bottom w:val="single" w:sz="4" w:space="0" w:color="auto"/>
            </w:tcBorders>
          </w:tcPr>
          <w:p w:rsidR="00DF3F6D" w:rsidRPr="00BE3A18" w:rsidRDefault="00DF3F6D" w:rsidP="00D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3A18">
              <w:rPr>
                <w:rFonts w:ascii="Arial" w:hAnsi="Arial" w:cs="Arial"/>
                <w:sz w:val="20"/>
                <w:szCs w:val="20"/>
              </w:rPr>
              <w:t>Debt Collection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3F6D" w:rsidRPr="00BE3A18" w:rsidRDefault="00290004" w:rsidP="00D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in Q3</w:t>
            </w:r>
          </w:p>
        </w:tc>
        <w:tc>
          <w:tcPr>
            <w:tcW w:w="2980" w:type="dxa"/>
            <w:gridSpan w:val="2"/>
          </w:tcPr>
          <w:p w:rsidR="00DF3F6D" w:rsidRPr="009F02F0" w:rsidRDefault="00290004" w:rsidP="00290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3A18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</w:tr>
      <w:tr w:rsidR="00DF3F6D" w:rsidTr="00290004">
        <w:tc>
          <w:tcPr>
            <w:tcW w:w="4638" w:type="dxa"/>
            <w:tcBorders>
              <w:bottom w:val="single" w:sz="4" w:space="0" w:color="auto"/>
            </w:tcBorders>
          </w:tcPr>
          <w:p w:rsidR="00DF3F6D" w:rsidRPr="00BE3A18" w:rsidRDefault="00DF3F6D" w:rsidP="00D93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3A18">
              <w:rPr>
                <w:rFonts w:ascii="Arial" w:hAnsi="Arial" w:cs="Arial"/>
                <w:sz w:val="20"/>
                <w:szCs w:val="20"/>
              </w:rPr>
              <w:t>Cashiers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3F6D" w:rsidRPr="00883799" w:rsidRDefault="00290004" w:rsidP="00290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DF3F6D" w:rsidRPr="009F02F0" w:rsidRDefault="002A551A" w:rsidP="002A5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5E7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</w:tr>
      <w:tr w:rsidR="004D32FB" w:rsidTr="00DF3F6D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D32FB" w:rsidRPr="00166E50" w:rsidRDefault="004D32FB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Directorate Risk Based Reviews</w:t>
            </w:r>
          </w:p>
        </w:tc>
      </w:tr>
      <w:tr w:rsidR="004D32FB" w:rsidTr="00DF3F6D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D32FB" w:rsidRPr="00166E50" w:rsidRDefault="004D32FB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Community</w:t>
            </w:r>
          </w:p>
        </w:tc>
      </w:tr>
      <w:tr w:rsidR="00DF3F6D" w:rsidTr="00862D1E">
        <w:tc>
          <w:tcPr>
            <w:tcW w:w="4638" w:type="dxa"/>
            <w:tcBorders>
              <w:bottom w:val="single" w:sz="4" w:space="0" w:color="auto"/>
            </w:tcBorders>
          </w:tcPr>
          <w:p w:rsidR="00DF3F6D" w:rsidRPr="00A9663B" w:rsidRDefault="00DF3F6D" w:rsidP="004D32FB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Empty Property Grant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DF3F6D" w:rsidRPr="002C4014" w:rsidRDefault="00DF3F6D" w:rsidP="009F3F83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2980" w:type="dxa"/>
            <w:gridSpan w:val="2"/>
            <w:shd w:val="thinReverseDiagStripe" w:color="auto" w:fill="auto"/>
          </w:tcPr>
          <w:p w:rsidR="00DF3F6D" w:rsidRPr="004D32FB" w:rsidRDefault="00DF3F6D" w:rsidP="008837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04" w:rsidTr="00290004">
        <w:tc>
          <w:tcPr>
            <w:tcW w:w="4638" w:type="dxa"/>
            <w:tcBorders>
              <w:bottom w:val="single" w:sz="4" w:space="0" w:color="auto"/>
            </w:tcBorders>
          </w:tcPr>
          <w:p w:rsidR="00290004" w:rsidRPr="00A9663B" w:rsidRDefault="00290004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3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Major Projects - Grange Farm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0004" w:rsidRPr="00883799" w:rsidRDefault="00290004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Due for Q3/4</w:t>
            </w:r>
          </w:p>
        </w:tc>
        <w:tc>
          <w:tcPr>
            <w:tcW w:w="2980" w:type="dxa"/>
            <w:gridSpan w:val="2"/>
          </w:tcPr>
          <w:p w:rsidR="00290004" w:rsidRPr="00883799" w:rsidRDefault="00290004" w:rsidP="0029000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3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Planning stage</w:t>
            </w:r>
          </w:p>
        </w:tc>
      </w:tr>
      <w:tr w:rsidR="00290004" w:rsidTr="00290004">
        <w:tc>
          <w:tcPr>
            <w:tcW w:w="4638" w:type="dxa"/>
            <w:tcBorders>
              <w:bottom w:val="single" w:sz="4" w:space="0" w:color="auto"/>
            </w:tcBorders>
          </w:tcPr>
          <w:p w:rsidR="00290004" w:rsidRPr="00A9663B" w:rsidRDefault="00290004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3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Major Projects </w:t>
            </w:r>
            <w:r w:rsidR="00371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  <w:r w:rsidRPr="00883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Depot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0004" w:rsidRPr="00290004" w:rsidRDefault="00290004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00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Due for Q3/4</w:t>
            </w:r>
          </w:p>
        </w:tc>
        <w:tc>
          <w:tcPr>
            <w:tcW w:w="2980" w:type="dxa"/>
            <w:gridSpan w:val="2"/>
          </w:tcPr>
          <w:p w:rsidR="00290004" w:rsidRPr="002C4014" w:rsidRDefault="00290004" w:rsidP="00290004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83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Planning stage</w:t>
            </w:r>
          </w:p>
        </w:tc>
      </w:tr>
      <w:tr w:rsidR="00290004" w:rsidTr="00862D1E">
        <w:tc>
          <w:tcPr>
            <w:tcW w:w="4638" w:type="dxa"/>
            <w:tcBorders>
              <w:bottom w:val="single" w:sz="4" w:space="0" w:color="auto"/>
            </w:tcBorders>
          </w:tcPr>
          <w:p w:rsidR="00290004" w:rsidRDefault="00290004" w:rsidP="003069CF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Housing </w:t>
            </w:r>
            <w:r w:rsidR="00306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ervice Charges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0004" w:rsidRPr="00883799" w:rsidRDefault="00290004" w:rsidP="007C3B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Planned for </w:t>
            </w:r>
            <w:r w:rsidRPr="00883799">
              <w:rPr>
                <w:rFonts w:ascii="Arial" w:hAnsi="Arial" w:cs="Arial"/>
                <w:sz w:val="20"/>
                <w:szCs w:val="20"/>
              </w:rPr>
              <w:t>Q4</w:t>
            </w:r>
          </w:p>
        </w:tc>
        <w:tc>
          <w:tcPr>
            <w:tcW w:w="2980" w:type="dxa"/>
            <w:gridSpan w:val="2"/>
            <w:shd w:val="thinReverseDiagStripe" w:color="auto" w:fill="auto"/>
          </w:tcPr>
          <w:p w:rsidR="00290004" w:rsidRPr="004D32FB" w:rsidRDefault="00290004" w:rsidP="009F0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04" w:rsidTr="00290004">
        <w:tc>
          <w:tcPr>
            <w:tcW w:w="4638" w:type="dxa"/>
            <w:tcBorders>
              <w:bottom w:val="single" w:sz="4" w:space="0" w:color="auto"/>
            </w:tcBorders>
          </w:tcPr>
          <w:p w:rsidR="00290004" w:rsidRPr="00A9663B" w:rsidRDefault="00290004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Property Acquisition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0004" w:rsidRPr="00883799" w:rsidRDefault="00290004" w:rsidP="007C3B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799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2980" w:type="dxa"/>
            <w:gridSpan w:val="2"/>
          </w:tcPr>
          <w:p w:rsidR="00290004" w:rsidRPr="004D32FB" w:rsidRDefault="002A551A" w:rsidP="002A5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</w:tr>
      <w:tr w:rsidR="00290004" w:rsidTr="00290004">
        <w:tc>
          <w:tcPr>
            <w:tcW w:w="4638" w:type="dxa"/>
            <w:tcBorders>
              <w:bottom w:val="single" w:sz="4" w:space="0" w:color="auto"/>
            </w:tcBorders>
          </w:tcPr>
          <w:p w:rsidR="00290004" w:rsidRPr="004D32FB" w:rsidRDefault="00290004" w:rsidP="007C3B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Domestic Waste Collection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0004" w:rsidRPr="004D32FB" w:rsidRDefault="00290004" w:rsidP="002900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Due Q3 </w:t>
            </w:r>
          </w:p>
        </w:tc>
        <w:tc>
          <w:tcPr>
            <w:tcW w:w="2980" w:type="dxa"/>
            <w:gridSpan w:val="2"/>
          </w:tcPr>
          <w:p w:rsidR="00290004" w:rsidRPr="004D32FB" w:rsidRDefault="00290004" w:rsidP="00290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Slightly behind schedule to be undertaken Q4</w:t>
            </w:r>
          </w:p>
        </w:tc>
      </w:tr>
      <w:tr w:rsidR="00290004" w:rsidTr="00862D1E">
        <w:tc>
          <w:tcPr>
            <w:tcW w:w="4638" w:type="dxa"/>
            <w:tcBorders>
              <w:bottom w:val="single" w:sz="4" w:space="0" w:color="auto"/>
            </w:tcBorders>
          </w:tcPr>
          <w:p w:rsidR="00290004" w:rsidRPr="00A9663B" w:rsidRDefault="00290004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HMO Management &amp; Enforcement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0004" w:rsidRPr="00883799" w:rsidRDefault="00290004" w:rsidP="007C6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3799">
              <w:rPr>
                <w:rFonts w:ascii="Arial" w:hAnsi="Arial" w:cs="Arial"/>
                <w:sz w:val="20"/>
                <w:szCs w:val="20"/>
              </w:rPr>
              <w:t>Planned for Q4</w:t>
            </w:r>
          </w:p>
        </w:tc>
        <w:tc>
          <w:tcPr>
            <w:tcW w:w="2980" w:type="dxa"/>
            <w:gridSpan w:val="2"/>
            <w:shd w:val="thinReverseDiagStripe" w:color="auto" w:fill="auto"/>
          </w:tcPr>
          <w:p w:rsidR="00290004" w:rsidRPr="004D32FB" w:rsidRDefault="00290004" w:rsidP="009F0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04" w:rsidTr="00290004">
        <w:tc>
          <w:tcPr>
            <w:tcW w:w="4638" w:type="dxa"/>
            <w:tcBorders>
              <w:bottom w:val="single" w:sz="4" w:space="0" w:color="auto"/>
            </w:tcBorders>
          </w:tcPr>
          <w:p w:rsidR="00290004" w:rsidRPr="00BB656F" w:rsidRDefault="00290004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Parking Operations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0004" w:rsidRPr="00290004" w:rsidRDefault="00290004" w:rsidP="0029000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progress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290004" w:rsidRPr="00290004" w:rsidRDefault="00290004" w:rsidP="009F02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004">
              <w:rPr>
                <w:rFonts w:ascii="Arial" w:hAnsi="Arial" w:cs="Arial"/>
                <w:b/>
                <w:sz w:val="20"/>
                <w:szCs w:val="20"/>
              </w:rPr>
              <w:t>AMBER</w:t>
            </w:r>
          </w:p>
        </w:tc>
      </w:tr>
      <w:tr w:rsidR="00290004" w:rsidTr="00DF3F6D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90004" w:rsidRPr="004D32FB" w:rsidRDefault="00290004" w:rsidP="007C6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E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People</w:t>
            </w:r>
          </w:p>
        </w:tc>
      </w:tr>
      <w:tr w:rsidR="00290004" w:rsidTr="00862D1E">
        <w:tc>
          <w:tcPr>
            <w:tcW w:w="4638" w:type="dxa"/>
            <w:tcBorders>
              <w:bottom w:val="single" w:sz="4" w:space="0" w:color="auto"/>
            </w:tcBorders>
          </w:tcPr>
          <w:p w:rsidR="00290004" w:rsidRPr="00982CBB" w:rsidRDefault="00290004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2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Camrose</w:t>
            </w:r>
            <w:proofErr w:type="spellEnd"/>
            <w:r w:rsidRPr="00982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</w:tcPr>
          <w:p w:rsidR="00290004" w:rsidRPr="00355612" w:rsidRDefault="00290004" w:rsidP="00355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612">
              <w:rPr>
                <w:rFonts w:ascii="Arial" w:hAnsi="Arial" w:cs="Arial"/>
                <w:b/>
                <w:sz w:val="20"/>
                <w:szCs w:val="20"/>
              </w:rPr>
              <w:t>AMBER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290004" w:rsidRPr="00355612" w:rsidRDefault="00290004" w:rsidP="007C3B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5612">
              <w:rPr>
                <w:rFonts w:ascii="Arial" w:hAnsi="Arial" w:cs="Arial"/>
                <w:b/>
                <w:sz w:val="20"/>
                <w:szCs w:val="20"/>
              </w:rPr>
              <w:t>GREEN</w:t>
            </w:r>
          </w:p>
        </w:tc>
        <w:tc>
          <w:tcPr>
            <w:tcW w:w="2980" w:type="dxa"/>
            <w:gridSpan w:val="2"/>
            <w:shd w:val="thinReverseDiagStripe" w:color="auto" w:fill="FFFFFF" w:themeFill="background1"/>
          </w:tcPr>
          <w:p w:rsidR="00290004" w:rsidRPr="004D32FB" w:rsidRDefault="00290004" w:rsidP="009F0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04" w:rsidTr="00862D1E">
        <w:tc>
          <w:tcPr>
            <w:tcW w:w="4638" w:type="dxa"/>
            <w:tcBorders>
              <w:bottom w:val="single" w:sz="4" w:space="0" w:color="auto"/>
            </w:tcBorders>
          </w:tcPr>
          <w:p w:rsidR="00290004" w:rsidRPr="00982CBB" w:rsidRDefault="00290004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2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Norbury</w:t>
            </w:r>
            <w:proofErr w:type="spellEnd"/>
            <w:r w:rsidRPr="00982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</w:tcPr>
          <w:p w:rsidR="00290004" w:rsidRPr="002C4014" w:rsidRDefault="00290004" w:rsidP="00355612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290004" w:rsidRPr="002C4014" w:rsidRDefault="00290004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80" w:type="dxa"/>
            <w:gridSpan w:val="2"/>
            <w:shd w:val="thinReverseDiagStripe" w:color="auto" w:fill="FFFFFF" w:themeFill="background1"/>
          </w:tcPr>
          <w:p w:rsidR="00290004" w:rsidRPr="004D32FB" w:rsidRDefault="00290004" w:rsidP="009F0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04" w:rsidTr="00862D1E">
        <w:tc>
          <w:tcPr>
            <w:tcW w:w="4638" w:type="dxa"/>
            <w:tcBorders>
              <w:bottom w:val="single" w:sz="4" w:space="0" w:color="auto"/>
            </w:tcBorders>
          </w:tcPr>
          <w:p w:rsidR="00290004" w:rsidRDefault="00290004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Whitchurch Primary School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290004" w:rsidRPr="002C4014" w:rsidRDefault="00290004" w:rsidP="00355612">
            <w:pPr>
              <w:spacing w:before="100" w:beforeAutospacing="1"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2980" w:type="dxa"/>
            <w:gridSpan w:val="2"/>
            <w:shd w:val="thinReverseDiagStripe" w:color="auto" w:fill="FFFFFF" w:themeFill="background1"/>
          </w:tcPr>
          <w:p w:rsidR="00290004" w:rsidRPr="004D32FB" w:rsidRDefault="00290004" w:rsidP="009F0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04" w:rsidTr="00290004">
        <w:tc>
          <w:tcPr>
            <w:tcW w:w="4638" w:type="dxa"/>
            <w:tcBorders>
              <w:bottom w:val="single" w:sz="4" w:space="0" w:color="auto"/>
            </w:tcBorders>
          </w:tcPr>
          <w:p w:rsidR="00290004" w:rsidRDefault="00290004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schools x 6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90004" w:rsidRPr="00355612" w:rsidRDefault="00290004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Planned for Q4</w:t>
            </w:r>
          </w:p>
        </w:tc>
        <w:tc>
          <w:tcPr>
            <w:tcW w:w="2980" w:type="dxa"/>
            <w:gridSpan w:val="2"/>
          </w:tcPr>
          <w:p w:rsidR="00290004" w:rsidRPr="004D32FB" w:rsidRDefault="003069CF" w:rsidP="003069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visit’s booked</w:t>
            </w:r>
          </w:p>
        </w:tc>
      </w:tr>
      <w:tr w:rsidR="00290004" w:rsidTr="00862D1E">
        <w:tc>
          <w:tcPr>
            <w:tcW w:w="4638" w:type="dxa"/>
            <w:tcBorders>
              <w:bottom w:val="single" w:sz="4" w:space="0" w:color="auto"/>
            </w:tcBorders>
          </w:tcPr>
          <w:p w:rsidR="00290004" w:rsidRDefault="00290004" w:rsidP="00CE760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7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SFVS Assurance Statement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90004" w:rsidRPr="00355612" w:rsidRDefault="00290004" w:rsidP="00355612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BD3D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ssurance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provided </w:t>
            </w:r>
            <w:r w:rsidRPr="00BD3D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to S151 Officer responsible for signing off statutory return </w:t>
            </w:r>
          </w:p>
        </w:tc>
        <w:tc>
          <w:tcPr>
            <w:tcW w:w="2980" w:type="dxa"/>
            <w:gridSpan w:val="2"/>
            <w:shd w:val="thinReverseDiagStripe" w:color="auto" w:fill="auto"/>
          </w:tcPr>
          <w:p w:rsidR="00290004" w:rsidRPr="004D32FB" w:rsidRDefault="00290004" w:rsidP="009F0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04" w:rsidTr="00290004">
        <w:tc>
          <w:tcPr>
            <w:tcW w:w="4638" w:type="dxa"/>
            <w:tcBorders>
              <w:bottom w:val="single" w:sz="4" w:space="0" w:color="auto"/>
            </w:tcBorders>
          </w:tcPr>
          <w:p w:rsidR="00290004" w:rsidRDefault="00290004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7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Together with Families Programme (Troubled Families Grant)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90004" w:rsidRPr="002C4014" w:rsidRDefault="002A551A" w:rsidP="002A551A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1st</w:t>
            </w:r>
            <w:r w:rsidR="002900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claim complete</w:t>
            </w:r>
          </w:p>
        </w:tc>
        <w:tc>
          <w:tcPr>
            <w:tcW w:w="2980" w:type="dxa"/>
            <w:gridSpan w:val="2"/>
          </w:tcPr>
          <w:p w:rsidR="00290004" w:rsidRPr="004D32FB" w:rsidRDefault="002A551A" w:rsidP="002A5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A551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claim in progress (new team)</w:t>
            </w:r>
          </w:p>
        </w:tc>
      </w:tr>
      <w:tr w:rsidR="00290004" w:rsidTr="00290004">
        <w:tc>
          <w:tcPr>
            <w:tcW w:w="4638" w:type="dxa"/>
            <w:tcBorders>
              <w:bottom w:val="single" w:sz="4" w:space="0" w:color="auto"/>
            </w:tcBorders>
          </w:tcPr>
          <w:p w:rsidR="00290004" w:rsidRPr="00141CBE" w:rsidRDefault="00290004" w:rsidP="00BE72A1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7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Admissions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90004" w:rsidRPr="002C4014" w:rsidRDefault="00290004" w:rsidP="00290004">
            <w:pPr>
              <w:spacing w:before="100" w:beforeAutospacing="1" w:after="0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Due Q3 </w:t>
            </w:r>
          </w:p>
        </w:tc>
        <w:tc>
          <w:tcPr>
            <w:tcW w:w="2980" w:type="dxa"/>
            <w:gridSpan w:val="2"/>
          </w:tcPr>
          <w:p w:rsidR="00290004" w:rsidRPr="004D32FB" w:rsidRDefault="00290004" w:rsidP="00290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Slightly behind schedule to be undertaken Q4</w:t>
            </w:r>
          </w:p>
        </w:tc>
      </w:tr>
      <w:tr w:rsidR="003069CF" w:rsidTr="003069CF">
        <w:tc>
          <w:tcPr>
            <w:tcW w:w="4638" w:type="dxa"/>
            <w:tcBorders>
              <w:bottom w:val="single" w:sz="4" w:space="0" w:color="auto"/>
            </w:tcBorders>
          </w:tcPr>
          <w:p w:rsidR="003069CF" w:rsidRPr="00141CBE" w:rsidRDefault="003069CF" w:rsidP="00CE7604">
            <w:pPr>
              <w:tabs>
                <w:tab w:val="left" w:pos="984"/>
              </w:tabs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7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Response Team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069CF" w:rsidRPr="00355612" w:rsidRDefault="003069CF" w:rsidP="007C3B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1490" w:type="dxa"/>
            <w:shd w:val="clear" w:color="auto" w:fill="FFC000"/>
          </w:tcPr>
          <w:p w:rsidR="003069CF" w:rsidRPr="003069CF" w:rsidRDefault="003069CF" w:rsidP="002900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69CF">
              <w:rPr>
                <w:rFonts w:ascii="Arial" w:hAnsi="Arial" w:cs="Arial"/>
                <w:b/>
                <w:sz w:val="20"/>
                <w:szCs w:val="20"/>
              </w:rPr>
              <w:t>AMBER</w:t>
            </w:r>
          </w:p>
        </w:tc>
        <w:tc>
          <w:tcPr>
            <w:tcW w:w="1490" w:type="dxa"/>
            <w:shd w:val="clear" w:color="auto" w:fill="92D050"/>
          </w:tcPr>
          <w:p w:rsidR="003069CF" w:rsidRPr="003069CF" w:rsidRDefault="003069CF" w:rsidP="002900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69CF">
              <w:rPr>
                <w:rFonts w:ascii="Arial" w:hAnsi="Arial" w:cs="Arial"/>
                <w:b/>
                <w:sz w:val="20"/>
                <w:szCs w:val="20"/>
              </w:rPr>
              <w:t>GREEN</w:t>
            </w:r>
          </w:p>
        </w:tc>
      </w:tr>
      <w:tr w:rsidR="002A551A" w:rsidTr="00290004">
        <w:tc>
          <w:tcPr>
            <w:tcW w:w="4638" w:type="dxa"/>
            <w:tcBorders>
              <w:bottom w:val="single" w:sz="4" w:space="0" w:color="auto"/>
            </w:tcBorders>
          </w:tcPr>
          <w:p w:rsidR="002A551A" w:rsidRPr="00CE7604" w:rsidRDefault="002A551A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3D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Youth Offending Team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A551A" w:rsidRPr="00355612" w:rsidRDefault="002A551A" w:rsidP="007C3B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5612">
              <w:rPr>
                <w:rFonts w:ascii="Arial" w:hAnsi="Arial" w:cs="Arial"/>
                <w:sz w:val="20"/>
                <w:szCs w:val="20"/>
              </w:rPr>
              <w:t>Planned Q4</w:t>
            </w:r>
          </w:p>
        </w:tc>
        <w:tc>
          <w:tcPr>
            <w:tcW w:w="2980" w:type="dxa"/>
            <w:gridSpan w:val="2"/>
          </w:tcPr>
          <w:p w:rsidR="002A551A" w:rsidRPr="00355612" w:rsidRDefault="002A551A" w:rsidP="00593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5612">
              <w:rPr>
                <w:rFonts w:ascii="Arial" w:hAnsi="Arial" w:cs="Arial"/>
                <w:sz w:val="20"/>
                <w:szCs w:val="20"/>
              </w:rPr>
              <w:t>Planned Q4</w:t>
            </w:r>
          </w:p>
        </w:tc>
      </w:tr>
      <w:tr w:rsidR="002A551A" w:rsidTr="00290004">
        <w:tc>
          <w:tcPr>
            <w:tcW w:w="4638" w:type="dxa"/>
            <w:tcBorders>
              <w:bottom w:val="single" w:sz="4" w:space="0" w:color="auto"/>
            </w:tcBorders>
          </w:tcPr>
          <w:p w:rsidR="002A551A" w:rsidRPr="00A9663B" w:rsidRDefault="002A551A" w:rsidP="007C67D4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E76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Learning Disability Focus Group/Partnership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A551A" w:rsidRPr="00355612" w:rsidRDefault="002A551A" w:rsidP="007C3B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5612">
              <w:rPr>
                <w:rFonts w:ascii="Arial" w:hAnsi="Arial" w:cs="Arial"/>
                <w:sz w:val="20"/>
                <w:szCs w:val="20"/>
              </w:rPr>
              <w:t>Planned Q4</w:t>
            </w:r>
          </w:p>
        </w:tc>
        <w:tc>
          <w:tcPr>
            <w:tcW w:w="2980" w:type="dxa"/>
            <w:gridSpan w:val="2"/>
          </w:tcPr>
          <w:p w:rsidR="002A551A" w:rsidRPr="00355612" w:rsidRDefault="002A551A" w:rsidP="00593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5612">
              <w:rPr>
                <w:rFonts w:ascii="Arial" w:hAnsi="Arial" w:cs="Arial"/>
                <w:sz w:val="20"/>
                <w:szCs w:val="20"/>
              </w:rPr>
              <w:t>Planned Q4</w:t>
            </w:r>
          </w:p>
        </w:tc>
      </w:tr>
      <w:tr w:rsidR="00290004" w:rsidTr="00290004">
        <w:tc>
          <w:tcPr>
            <w:tcW w:w="4638" w:type="dxa"/>
            <w:tcBorders>
              <w:bottom w:val="single" w:sz="4" w:space="0" w:color="auto"/>
            </w:tcBorders>
          </w:tcPr>
          <w:p w:rsidR="00290004" w:rsidRPr="00A9663B" w:rsidRDefault="00290004" w:rsidP="00BE72A1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Adult Social Care – Personal Budgets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90004" w:rsidRPr="00355612" w:rsidRDefault="00290004" w:rsidP="007C6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in Q3</w:t>
            </w:r>
          </w:p>
        </w:tc>
        <w:tc>
          <w:tcPr>
            <w:tcW w:w="2980" w:type="dxa"/>
            <w:gridSpan w:val="2"/>
          </w:tcPr>
          <w:p w:rsidR="00290004" w:rsidRPr="00527924" w:rsidRDefault="00290004" w:rsidP="00290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5612">
              <w:rPr>
                <w:rFonts w:ascii="Arial" w:hAnsi="Arial" w:cs="Arial"/>
                <w:sz w:val="20"/>
                <w:szCs w:val="20"/>
              </w:rPr>
              <w:t>Planning stage</w:t>
            </w:r>
          </w:p>
        </w:tc>
      </w:tr>
      <w:tr w:rsidR="00290004" w:rsidTr="00F52B5D">
        <w:tc>
          <w:tcPr>
            <w:tcW w:w="4638" w:type="dxa"/>
            <w:tcBorders>
              <w:bottom w:val="single" w:sz="4" w:space="0" w:color="auto"/>
            </w:tcBorders>
          </w:tcPr>
          <w:p w:rsidR="00290004" w:rsidRPr="00355612" w:rsidRDefault="00290004" w:rsidP="00BE72A1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 System Security – Mosaic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0004" w:rsidRPr="00290004" w:rsidRDefault="00290004" w:rsidP="00290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0004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290004" w:rsidRPr="00290004" w:rsidRDefault="00290004" w:rsidP="009F02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004">
              <w:rPr>
                <w:rFonts w:ascii="Arial" w:hAnsi="Arial" w:cs="Arial"/>
                <w:b/>
                <w:sz w:val="20"/>
                <w:szCs w:val="20"/>
              </w:rPr>
              <w:t>GREEN</w:t>
            </w:r>
          </w:p>
        </w:tc>
      </w:tr>
      <w:tr w:rsidR="00290004" w:rsidTr="00F52B5D">
        <w:tc>
          <w:tcPr>
            <w:tcW w:w="4638" w:type="dxa"/>
            <w:tcBorders>
              <w:bottom w:val="single" w:sz="4" w:space="0" w:color="auto"/>
            </w:tcBorders>
          </w:tcPr>
          <w:p w:rsidR="00290004" w:rsidRPr="00355612" w:rsidRDefault="00290004" w:rsidP="00BE72A1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Schools SLA c/f 2018/19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0004" w:rsidRPr="002A551A" w:rsidRDefault="002A551A" w:rsidP="002A5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51A">
              <w:rPr>
                <w:rFonts w:ascii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290004" w:rsidRPr="00527924" w:rsidRDefault="00F52B5D" w:rsidP="009F0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AMBER</w:t>
            </w:r>
          </w:p>
        </w:tc>
      </w:tr>
      <w:tr w:rsidR="00290004" w:rsidTr="00862D1E">
        <w:tc>
          <w:tcPr>
            <w:tcW w:w="4638" w:type="dxa"/>
            <w:tcBorders>
              <w:bottom w:val="single" w:sz="4" w:space="0" w:color="auto"/>
            </w:tcBorders>
          </w:tcPr>
          <w:p w:rsidR="00290004" w:rsidRDefault="00290004" w:rsidP="00BE72A1">
            <w:pPr>
              <w:spacing w:before="100" w:beforeAutospacing="1"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Fostering c/f 2018/19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290004" w:rsidRDefault="00290004" w:rsidP="00BF7C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AMBER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:rsidR="00290004" w:rsidRPr="00527924" w:rsidRDefault="00290004" w:rsidP="009F02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F6D" w:rsidRDefault="00DF3F6D" w:rsidP="007C3BFB">
      <w:pPr>
        <w:spacing w:after="0" w:line="240" w:lineRule="auto"/>
        <w:rPr>
          <w:rFonts w:ascii="Arial" w:eastAsia="+mn-ea" w:hAnsi="Arial" w:cs="Arial"/>
          <w:b/>
          <w:bCs/>
          <w:iCs/>
          <w:kern w:val="24"/>
          <w:sz w:val="24"/>
          <w:szCs w:val="24"/>
        </w:rPr>
      </w:pPr>
    </w:p>
    <w:p w:rsidR="00DF3F6D" w:rsidRDefault="00DF3F6D" w:rsidP="007C3BFB">
      <w:pPr>
        <w:spacing w:after="0" w:line="240" w:lineRule="auto"/>
        <w:rPr>
          <w:rFonts w:ascii="Arial" w:eastAsia="+mn-ea" w:hAnsi="Arial" w:cs="Arial"/>
          <w:b/>
          <w:bCs/>
          <w:iCs/>
          <w:kern w:val="24"/>
          <w:sz w:val="24"/>
          <w:szCs w:val="24"/>
        </w:rPr>
      </w:pPr>
    </w:p>
    <w:p w:rsidR="000F73B2" w:rsidRDefault="00730037">
      <w:pPr>
        <w:spacing w:after="0" w:line="240" w:lineRule="auto"/>
        <w:rPr>
          <w:rFonts w:ascii="Arial" w:eastAsia="+mn-ea" w:hAnsi="Arial" w:cs="Arial"/>
          <w:bCs/>
          <w:iCs/>
          <w:kern w:val="24"/>
          <w:sz w:val="24"/>
          <w:szCs w:val="24"/>
        </w:rPr>
      </w:pPr>
      <w:r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Final </w:t>
      </w:r>
      <w:r w:rsidR="00097937"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>r</w:t>
      </w:r>
      <w:r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ed and </w:t>
      </w:r>
      <w:r w:rsidR="00097937"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>r</w:t>
      </w:r>
      <w:r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>ed/</w:t>
      </w:r>
      <w:r w:rsidR="00097937"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>a</w:t>
      </w:r>
      <w:r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mber assurance reports are presented to the GARMS Committee individually for review and comment with relevant managers attending the meetings.  </w:t>
      </w:r>
      <w:r w:rsidR="00AF5C5D"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No </w:t>
      </w:r>
      <w:r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red </w:t>
      </w:r>
      <w:r w:rsidR="00AF5C5D"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>or</w:t>
      </w:r>
      <w:r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 red/amber assurance reports </w:t>
      </w:r>
      <w:r w:rsidR="00AF5C5D"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>have been issued in Q1</w:t>
      </w:r>
      <w:r w:rsidR="00C825E7">
        <w:rPr>
          <w:rFonts w:ascii="Arial" w:eastAsia="+mn-ea" w:hAnsi="Arial" w:cs="Arial"/>
          <w:bCs/>
          <w:iCs/>
          <w:kern w:val="24"/>
          <w:sz w:val="24"/>
          <w:szCs w:val="24"/>
        </w:rPr>
        <w:t>,</w:t>
      </w:r>
      <w:r w:rsidR="00AF5C5D"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 Q2</w:t>
      </w:r>
      <w:r w:rsidR="00C825E7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 or Q3 </w:t>
      </w:r>
      <w:r w:rsidR="00AF5C5D"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of </w:t>
      </w:r>
      <w:r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>201</w:t>
      </w:r>
      <w:r w:rsidR="00AF5C5D"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>9</w:t>
      </w:r>
      <w:r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>/</w:t>
      </w:r>
      <w:r w:rsidR="00AF5C5D"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>20</w:t>
      </w:r>
      <w:r w:rsidR="00AF5C5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. </w:t>
      </w:r>
      <w:r w:rsidRPr="00AF5C5D">
        <w:rPr>
          <w:rFonts w:ascii="Arial" w:eastAsia="+mn-ea" w:hAnsi="Arial" w:cs="Arial"/>
          <w:bCs/>
          <w:iCs/>
          <w:kern w:val="24"/>
          <w:sz w:val="24"/>
          <w:szCs w:val="24"/>
        </w:rPr>
        <w:t xml:space="preserve"> </w:t>
      </w:r>
    </w:p>
    <w:p w:rsidR="00E87231" w:rsidRPr="007E1F76" w:rsidRDefault="00E87231" w:rsidP="007C3BFB">
      <w:pPr>
        <w:spacing w:after="0" w:line="240" w:lineRule="auto"/>
        <w:rPr>
          <w:rFonts w:ascii="Arial" w:eastAsia="+mn-ea" w:hAnsi="Arial" w:cs="Arial"/>
          <w:bCs/>
          <w:iCs/>
          <w:kern w:val="24"/>
          <w:sz w:val="24"/>
          <w:szCs w:val="24"/>
        </w:rPr>
      </w:pPr>
    </w:p>
    <w:p w:rsidR="007E1F76" w:rsidRDefault="007E1F76" w:rsidP="007C3BFB">
      <w:pPr>
        <w:spacing w:after="0" w:line="240" w:lineRule="auto"/>
        <w:rPr>
          <w:rFonts w:ascii="Arial" w:eastAsia="+mn-ea" w:hAnsi="Arial" w:cs="Arial"/>
          <w:b/>
          <w:bCs/>
          <w:iCs/>
          <w:kern w:val="24"/>
          <w:sz w:val="24"/>
          <w:szCs w:val="24"/>
        </w:rPr>
      </w:pPr>
    </w:p>
    <w:p w:rsidR="007D5F62" w:rsidRPr="004E6157" w:rsidRDefault="000F59D4" w:rsidP="007244A4">
      <w:pPr>
        <w:shd w:val="clear" w:color="auto" w:fill="17365D" w:themeFill="text2" w:themeFillShade="BF"/>
        <w:spacing w:after="0" w:line="240" w:lineRule="auto"/>
        <w:ind w:left="-142"/>
        <w:rPr>
          <w:rFonts w:ascii="Arial" w:hAnsi="Arial" w:cs="Arial"/>
          <w:color w:val="FFFFFF" w:themeColor="background1"/>
          <w:sz w:val="32"/>
          <w:szCs w:val="32"/>
        </w:rPr>
      </w:pPr>
      <w:r w:rsidRPr="004E6157">
        <w:rPr>
          <w:rFonts w:ascii="Arial" w:hAnsi="Arial" w:cs="Arial"/>
          <w:color w:val="FFFFFF" w:themeColor="background1"/>
          <w:sz w:val="32"/>
          <w:szCs w:val="32"/>
        </w:rPr>
        <w:t>Follow Up Work Conducted</w:t>
      </w:r>
      <w:r w:rsidR="001E78EF">
        <w:rPr>
          <w:rFonts w:ascii="Arial" w:hAnsi="Arial" w:cs="Arial"/>
          <w:color w:val="FFFFFF" w:themeColor="background1"/>
          <w:sz w:val="32"/>
          <w:szCs w:val="32"/>
        </w:rPr>
        <w:t>/Due</w:t>
      </w:r>
    </w:p>
    <w:p w:rsidR="000F59D4" w:rsidRPr="007244A4" w:rsidRDefault="000F59D4" w:rsidP="000F59D4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D86F82" w:rsidRPr="0094765E" w:rsidRDefault="00D86F82" w:rsidP="00D86F82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94765E">
        <w:rPr>
          <w:rFonts w:ascii="Arial" w:eastAsia="+mn-ea" w:hAnsi="Arial" w:cs="+mn-cs"/>
          <w:b/>
          <w:bCs/>
          <w:iCs/>
          <w:color w:val="242852"/>
          <w:kern w:val="24"/>
          <w:sz w:val="24"/>
          <w:szCs w:val="24"/>
          <w:lang w:eastAsia="en-GB"/>
        </w:rPr>
        <w:t>Introduction</w:t>
      </w:r>
    </w:p>
    <w:p w:rsidR="00D86F82" w:rsidRPr="0094765E" w:rsidRDefault="00D86F82" w:rsidP="007244A4">
      <w:pPr>
        <w:spacing w:after="120" w:line="240" w:lineRule="auto"/>
        <w:rPr>
          <w:rFonts w:ascii="Arial" w:eastAsia="+mn-ea" w:hAnsi="Arial" w:cs="+mn-cs"/>
          <w:b/>
          <w:bCs/>
          <w:iCs/>
          <w:color w:val="242852"/>
          <w:kern w:val="24"/>
          <w:sz w:val="24"/>
          <w:szCs w:val="24"/>
          <w:lang w:eastAsia="en-GB"/>
        </w:rPr>
      </w:pPr>
      <w:r w:rsidRP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In order for the </w:t>
      </w:r>
      <w:r w:rsid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>Council</w:t>
      </w:r>
      <w:r w:rsidRP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 to derive maximum benefit from internal audit, agreed actions should be implemented. </w:t>
      </w:r>
      <w:r w:rsid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Whilst management </w:t>
      </w:r>
      <w:r w:rsidR="00EC3DD5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>is</w:t>
      </w:r>
      <w:r w:rsid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 responsible for implementing recommendations, </w:t>
      </w:r>
      <w:r w:rsidR="0094765E" w:rsidRP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>in</w:t>
      </w:r>
      <w:r w:rsidRP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 accordance with </w:t>
      </w:r>
      <w:r w:rsidR="0094765E" w:rsidRP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the </w:t>
      </w:r>
      <w:r w:rsidRP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>internal audit p</w:t>
      </w:r>
      <w:r w:rsidR="00565F52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>rotocol</w:t>
      </w:r>
      <w:r w:rsidR="00873A43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 follow-ups of recommendations are undertaken for all but Green assurance reports</w:t>
      </w:r>
      <w:r w:rsidR="00565F52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 and </w:t>
      </w:r>
      <w:r w:rsidR="00565F52">
        <w:rPr>
          <w:rFonts w:ascii="Arial" w:eastAsia="Times New Roman" w:hAnsi="Arial" w:cs="Arial"/>
          <w:sz w:val="24"/>
          <w:szCs w:val="24"/>
          <w:lang w:eastAsia="en-GB"/>
        </w:rPr>
        <w:t>report recommendations are followed-up until at least an Amber assurance rating is achieved</w:t>
      </w:r>
      <w:r w:rsidR="00873A43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>.</w:t>
      </w:r>
      <w:r w:rsidRP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 The table below </w:t>
      </w:r>
      <w:r w:rsidRPr="00873A43">
        <w:rPr>
          <w:rFonts w:ascii="Arial" w:eastAsia="+mn-ea" w:hAnsi="Arial" w:cs="+mn-cs"/>
          <w:color w:val="000000"/>
          <w:kern w:val="24"/>
          <w:sz w:val="24"/>
          <w:szCs w:val="24"/>
          <w:lang w:eastAsia="en-GB"/>
        </w:rPr>
        <w:t>summarises</w:t>
      </w:r>
      <w:r w:rsidRP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 the follow up work performed</w:t>
      </w:r>
      <w:r w:rsidR="00873A43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 xml:space="preserve"> during 201</w:t>
      </w:r>
      <w:r w:rsidR="00C76451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>9</w:t>
      </w:r>
      <w:r w:rsidR="00873A43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>/</w:t>
      </w:r>
      <w:r w:rsidR="00C76451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>20</w:t>
      </w:r>
      <w:r w:rsidRPr="0094765E">
        <w:rPr>
          <w:rFonts w:ascii="Arial" w:eastAsia="+mn-ea" w:hAnsi="Arial" w:cs="+mn-cs"/>
          <w:color w:val="000000"/>
          <w:kern w:val="24"/>
          <w:sz w:val="24"/>
          <w:szCs w:val="24"/>
          <w:lang w:val="en-US" w:eastAsia="en-GB"/>
        </w:rPr>
        <w:t>.</w:t>
      </w:r>
    </w:p>
    <w:tbl>
      <w:tblPr>
        <w:tblStyle w:val="TableGrid"/>
        <w:tblW w:w="11026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420"/>
        <w:gridCol w:w="1417"/>
        <w:gridCol w:w="1560"/>
        <w:gridCol w:w="1346"/>
        <w:gridCol w:w="1347"/>
      </w:tblGrid>
      <w:tr w:rsidR="00881A39" w:rsidTr="00C721DD">
        <w:trPr>
          <w:cantSplit/>
          <w:trHeight w:val="20"/>
          <w:tblHeader/>
        </w:trPr>
        <w:tc>
          <w:tcPr>
            <w:tcW w:w="2660" w:type="dxa"/>
            <w:shd w:val="clear" w:color="auto" w:fill="17365D" w:themeFill="text2" w:themeFillShade="BF"/>
          </w:tcPr>
          <w:p w:rsidR="00881A39" w:rsidRPr="00D86F82" w:rsidRDefault="00881A39" w:rsidP="00D86F82">
            <w:pPr>
              <w:spacing w:after="12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D86F8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Review</w:t>
            </w:r>
          </w:p>
        </w:tc>
        <w:tc>
          <w:tcPr>
            <w:tcW w:w="2696" w:type="dxa"/>
            <w:gridSpan w:val="2"/>
            <w:shd w:val="clear" w:color="auto" w:fill="17365D" w:themeFill="text2" w:themeFillShade="BF"/>
          </w:tcPr>
          <w:p w:rsidR="00881A39" w:rsidRDefault="00881A39" w:rsidP="00D86F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Original Assurance Rating</w:t>
            </w:r>
          </w:p>
        </w:tc>
        <w:tc>
          <w:tcPr>
            <w:tcW w:w="2977" w:type="dxa"/>
            <w:gridSpan w:val="2"/>
            <w:shd w:val="clear" w:color="auto" w:fill="17365D" w:themeFill="text2" w:themeFillShade="BF"/>
          </w:tcPr>
          <w:p w:rsidR="00881A39" w:rsidRPr="00D86F82" w:rsidRDefault="00881A39" w:rsidP="00881A3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Re-Assessed Assurance Rating at Mid Year / Comments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881A39" w:rsidRDefault="00881A39" w:rsidP="0079034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Re-Assessed Assurance Rating at Q3 / Comments</w:t>
            </w:r>
          </w:p>
        </w:tc>
      </w:tr>
      <w:tr w:rsidR="00881A39" w:rsidTr="00C721DD">
        <w:trPr>
          <w:cantSplit/>
          <w:trHeight w:val="20"/>
          <w:tblHeader/>
        </w:trPr>
        <w:tc>
          <w:tcPr>
            <w:tcW w:w="2660" w:type="dxa"/>
          </w:tcPr>
          <w:p w:rsidR="00881A39" w:rsidRPr="00BE7A42" w:rsidRDefault="00881A39" w:rsidP="00593142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E7A42">
              <w:rPr>
                <w:rFonts w:ascii="Arial" w:hAnsi="Arial" w:cs="Arial"/>
                <w:bCs/>
                <w:sz w:val="20"/>
                <w:szCs w:val="20"/>
                <w:lang w:val="en-US"/>
              </w:rPr>
              <w:t>Fuel Cards</w:t>
            </w:r>
          </w:p>
        </w:tc>
        <w:tc>
          <w:tcPr>
            <w:tcW w:w="1276" w:type="dxa"/>
            <w:shd w:val="clear" w:color="auto" w:fill="FF0000"/>
          </w:tcPr>
          <w:p w:rsidR="00881A39" w:rsidRDefault="00881A39" w:rsidP="00593142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RED</w:t>
            </w:r>
          </w:p>
        </w:tc>
        <w:tc>
          <w:tcPr>
            <w:tcW w:w="1420" w:type="dxa"/>
            <w:shd w:val="clear" w:color="auto" w:fill="FFC000"/>
          </w:tcPr>
          <w:p w:rsidR="00881A39" w:rsidRDefault="00881A39" w:rsidP="00593142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417" w:type="dxa"/>
            <w:shd w:val="clear" w:color="auto" w:fill="FFC000"/>
          </w:tcPr>
          <w:p w:rsidR="00881A39" w:rsidRPr="00BE7A42" w:rsidRDefault="00881A39" w:rsidP="00881A3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560" w:type="dxa"/>
            <w:shd w:val="clear" w:color="auto" w:fill="92D050"/>
          </w:tcPr>
          <w:p w:rsidR="00881A39" w:rsidRPr="00BE7A42" w:rsidRDefault="00881A39" w:rsidP="00881A3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693" w:type="dxa"/>
            <w:gridSpan w:val="2"/>
            <w:shd w:val="thinReverseDiagStripe" w:color="auto" w:fill="FFFFFF" w:themeFill="background1"/>
          </w:tcPr>
          <w:p w:rsidR="00881A39" w:rsidRDefault="00881A39" w:rsidP="00593142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39" w:rsidTr="00C721DD">
        <w:trPr>
          <w:cantSplit/>
          <w:trHeight w:val="20"/>
          <w:tblHeader/>
        </w:trPr>
        <w:tc>
          <w:tcPr>
            <w:tcW w:w="2660" w:type="dxa"/>
          </w:tcPr>
          <w:p w:rsidR="00881A39" w:rsidRPr="00BE7A42" w:rsidRDefault="00881A39" w:rsidP="00593142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Regeneration </w:t>
            </w:r>
            <w:r w:rsidRPr="00F06479">
              <w:rPr>
                <w:rFonts w:ascii="Arial" w:hAnsi="Arial" w:cs="Arial"/>
                <w:bCs/>
                <w:sz w:val="20"/>
                <w:szCs w:val="20"/>
              </w:rPr>
              <w:t>Programme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(2</w:t>
            </w:r>
            <w:r w:rsidRPr="00C7645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f/up)*</w:t>
            </w:r>
          </w:p>
        </w:tc>
        <w:tc>
          <w:tcPr>
            <w:tcW w:w="1276" w:type="dxa"/>
            <w:shd w:val="clear" w:color="auto" w:fill="FF0000"/>
          </w:tcPr>
          <w:p w:rsidR="00881A39" w:rsidRDefault="00881A39" w:rsidP="00593142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RED</w:t>
            </w:r>
          </w:p>
        </w:tc>
        <w:tc>
          <w:tcPr>
            <w:tcW w:w="1420" w:type="dxa"/>
            <w:shd w:val="clear" w:color="auto" w:fill="FFC000"/>
          </w:tcPr>
          <w:p w:rsidR="00881A39" w:rsidRDefault="00881A39" w:rsidP="00593142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417" w:type="dxa"/>
            <w:shd w:val="clear" w:color="auto" w:fill="FFC000"/>
          </w:tcPr>
          <w:p w:rsidR="00881A39" w:rsidRDefault="00881A39" w:rsidP="00881A3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560" w:type="dxa"/>
            <w:shd w:val="clear" w:color="auto" w:fill="92D050"/>
          </w:tcPr>
          <w:p w:rsidR="00881A39" w:rsidRDefault="00881A39" w:rsidP="00881A3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693" w:type="dxa"/>
            <w:gridSpan w:val="2"/>
            <w:shd w:val="thinReverseDiagStripe" w:color="auto" w:fill="FFFFFF" w:themeFill="background1"/>
          </w:tcPr>
          <w:p w:rsidR="00881A39" w:rsidRDefault="00881A39" w:rsidP="0059314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39" w:rsidTr="00C721DD">
        <w:trPr>
          <w:cantSplit/>
          <w:trHeight w:val="20"/>
          <w:tblHeader/>
        </w:trPr>
        <w:tc>
          <w:tcPr>
            <w:tcW w:w="2660" w:type="dxa"/>
          </w:tcPr>
          <w:p w:rsidR="00881A39" w:rsidRDefault="00881A39" w:rsidP="0059314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Planning</w:t>
            </w:r>
          </w:p>
        </w:tc>
        <w:tc>
          <w:tcPr>
            <w:tcW w:w="2696" w:type="dxa"/>
            <w:gridSpan w:val="2"/>
            <w:shd w:val="clear" w:color="auto" w:fill="FFC000"/>
          </w:tcPr>
          <w:p w:rsidR="00881A39" w:rsidRDefault="00881A39" w:rsidP="0059314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2977" w:type="dxa"/>
            <w:gridSpan w:val="2"/>
            <w:shd w:val="clear" w:color="auto" w:fill="92D050"/>
          </w:tcPr>
          <w:p w:rsidR="00881A39" w:rsidRPr="00545298" w:rsidRDefault="00881A39" w:rsidP="0059314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452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693" w:type="dxa"/>
            <w:gridSpan w:val="2"/>
            <w:shd w:val="thinReverseDiagStripe" w:color="auto" w:fill="auto"/>
          </w:tcPr>
          <w:p w:rsidR="00881A39" w:rsidRPr="00545298" w:rsidRDefault="00881A39" w:rsidP="0059314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39" w:rsidTr="00C721DD">
        <w:trPr>
          <w:cantSplit/>
          <w:trHeight w:val="20"/>
          <w:tblHeader/>
        </w:trPr>
        <w:tc>
          <w:tcPr>
            <w:tcW w:w="2660" w:type="dxa"/>
          </w:tcPr>
          <w:p w:rsidR="00881A39" w:rsidRDefault="00881A39" w:rsidP="00593142">
            <w:pPr>
              <w:spacing w:before="100" w:before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SNT (2nd f/up)**</w:t>
            </w:r>
          </w:p>
        </w:tc>
        <w:tc>
          <w:tcPr>
            <w:tcW w:w="2696" w:type="dxa"/>
            <w:gridSpan w:val="2"/>
            <w:shd w:val="clear" w:color="auto" w:fill="FF0000"/>
          </w:tcPr>
          <w:p w:rsidR="00881A39" w:rsidRDefault="00881A39" w:rsidP="0059314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</w:tcPr>
          <w:p w:rsidR="00881A39" w:rsidRPr="00790346" w:rsidRDefault="00881A39" w:rsidP="0059314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C000"/>
          </w:tcPr>
          <w:p w:rsidR="00881A39" w:rsidRPr="00790346" w:rsidRDefault="00881A39" w:rsidP="0059314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AMBER</w:t>
            </w:r>
          </w:p>
        </w:tc>
        <w:tc>
          <w:tcPr>
            <w:tcW w:w="2693" w:type="dxa"/>
            <w:gridSpan w:val="2"/>
            <w:shd w:val="clear" w:color="auto" w:fill="FFC000"/>
          </w:tcPr>
          <w:p w:rsidR="00881A39" w:rsidRPr="00790346" w:rsidRDefault="00881A39" w:rsidP="0059314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346">
              <w:rPr>
                <w:rFonts w:ascii="Arial" w:hAnsi="Arial" w:cs="Arial"/>
                <w:b/>
                <w:sz w:val="20"/>
                <w:szCs w:val="20"/>
              </w:rPr>
              <w:t>AMBER</w:t>
            </w:r>
          </w:p>
        </w:tc>
      </w:tr>
      <w:tr w:rsidR="00881A39" w:rsidTr="00C825E7">
        <w:trPr>
          <w:cantSplit/>
          <w:trHeight w:val="20"/>
          <w:tblHeader/>
        </w:trPr>
        <w:tc>
          <w:tcPr>
            <w:tcW w:w="2660" w:type="dxa"/>
            <w:shd w:val="clear" w:color="auto" w:fill="auto"/>
          </w:tcPr>
          <w:p w:rsidR="00881A39" w:rsidRDefault="00881A39" w:rsidP="00593142">
            <w:pPr>
              <w:spacing w:before="100" w:beforeAutospacing="1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</w:pPr>
            <w:r w:rsidRPr="00C825E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Museum &amp; Great Barn</w:t>
            </w:r>
          </w:p>
        </w:tc>
        <w:tc>
          <w:tcPr>
            <w:tcW w:w="2696" w:type="dxa"/>
            <w:gridSpan w:val="2"/>
            <w:shd w:val="clear" w:color="auto" w:fill="FF0000"/>
          </w:tcPr>
          <w:p w:rsidR="00881A39" w:rsidRDefault="00881A39" w:rsidP="004831A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RED</w:t>
            </w:r>
          </w:p>
        </w:tc>
        <w:tc>
          <w:tcPr>
            <w:tcW w:w="2977" w:type="dxa"/>
            <w:gridSpan w:val="2"/>
            <w:shd w:val="thinReverseDiagStripe" w:color="auto" w:fill="FFFFFF" w:themeFill="background1"/>
          </w:tcPr>
          <w:p w:rsidR="00881A39" w:rsidRPr="00BE7A42" w:rsidRDefault="00881A39" w:rsidP="0059314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gridSpan w:val="2"/>
            <w:shd w:val="clear" w:color="auto" w:fill="FFC000"/>
          </w:tcPr>
          <w:p w:rsidR="00881A39" w:rsidRDefault="00881A39" w:rsidP="0059314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</w:tr>
      <w:tr w:rsidR="00881A39" w:rsidTr="00C721DD">
        <w:trPr>
          <w:cantSplit/>
          <w:trHeight w:val="20"/>
          <w:tblHeader/>
        </w:trPr>
        <w:tc>
          <w:tcPr>
            <w:tcW w:w="2660" w:type="dxa"/>
          </w:tcPr>
          <w:p w:rsidR="00881A39" w:rsidRDefault="00881A39" w:rsidP="00593142">
            <w:pPr>
              <w:spacing w:before="100" w:beforeAutospacing="1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Empty Property Grant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vfm</w:t>
            </w:r>
            <w:proofErr w:type="spellEnd"/>
          </w:p>
        </w:tc>
        <w:tc>
          <w:tcPr>
            <w:tcW w:w="2696" w:type="dxa"/>
            <w:gridSpan w:val="2"/>
            <w:shd w:val="clear" w:color="auto" w:fill="FFC000"/>
          </w:tcPr>
          <w:p w:rsidR="00881A39" w:rsidRDefault="00881A39" w:rsidP="0059314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2977" w:type="dxa"/>
            <w:gridSpan w:val="2"/>
            <w:shd w:val="thinReverseDiagStripe" w:color="auto" w:fill="FFFFFF" w:themeFill="background1"/>
          </w:tcPr>
          <w:p w:rsidR="00881A39" w:rsidRPr="00C76451" w:rsidRDefault="00881A39" w:rsidP="0059314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6" w:type="dxa"/>
            <w:shd w:val="clear" w:color="auto" w:fill="FFC000"/>
          </w:tcPr>
          <w:p w:rsidR="00881A39" w:rsidRPr="00881A39" w:rsidRDefault="00881A39" w:rsidP="00881A3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81A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347" w:type="dxa"/>
            <w:shd w:val="clear" w:color="auto" w:fill="92D050"/>
          </w:tcPr>
          <w:p w:rsidR="00881A39" w:rsidRPr="00881A39" w:rsidRDefault="00881A39" w:rsidP="00881A3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81A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</w:tr>
      <w:tr w:rsidR="00BE3227" w:rsidTr="00C721DD">
        <w:trPr>
          <w:cantSplit/>
          <w:trHeight w:val="20"/>
          <w:tblHeader/>
        </w:trPr>
        <w:tc>
          <w:tcPr>
            <w:tcW w:w="2660" w:type="dxa"/>
          </w:tcPr>
          <w:p w:rsidR="00BE3227" w:rsidRDefault="003C311C">
            <w:pPr>
              <w:spacing w:before="100" w:beforeAutospacing="1" w:line="240" w:lineRule="atLeas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Helix Centre – Budgetary Control</w:t>
            </w:r>
          </w:p>
        </w:tc>
        <w:tc>
          <w:tcPr>
            <w:tcW w:w="2696" w:type="dxa"/>
            <w:gridSpan w:val="2"/>
            <w:shd w:val="clear" w:color="auto" w:fill="FFC000"/>
          </w:tcPr>
          <w:p w:rsidR="00BE3227" w:rsidRDefault="003C311C" w:rsidP="00C7645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2977" w:type="dxa"/>
            <w:gridSpan w:val="2"/>
            <w:shd w:val="thinReverseDiagStripe" w:color="auto" w:fill="FFFFFF" w:themeFill="background1"/>
          </w:tcPr>
          <w:p w:rsidR="00BE3227" w:rsidRDefault="00BE3227" w:rsidP="005931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BE3227" w:rsidRPr="003C311C" w:rsidRDefault="003C311C" w:rsidP="003C311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11C">
              <w:rPr>
                <w:rFonts w:ascii="Arial" w:hAnsi="Arial" w:cs="Arial"/>
                <w:b/>
                <w:sz w:val="20"/>
                <w:szCs w:val="20"/>
              </w:rPr>
              <w:t>GREEN</w:t>
            </w:r>
          </w:p>
        </w:tc>
      </w:tr>
      <w:tr w:rsidR="00881A39" w:rsidTr="00C721DD">
        <w:trPr>
          <w:cantSplit/>
          <w:trHeight w:val="20"/>
          <w:tblHeader/>
        </w:trPr>
        <w:tc>
          <w:tcPr>
            <w:tcW w:w="2660" w:type="dxa"/>
          </w:tcPr>
          <w:p w:rsidR="00881A39" w:rsidRDefault="00881A39">
            <w:pPr>
              <w:spacing w:before="100" w:beforeAutospacing="1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Homelessness – Preventative Work </w:t>
            </w:r>
          </w:p>
        </w:tc>
        <w:tc>
          <w:tcPr>
            <w:tcW w:w="2696" w:type="dxa"/>
            <w:gridSpan w:val="2"/>
            <w:shd w:val="clear" w:color="auto" w:fill="FFC000"/>
          </w:tcPr>
          <w:p w:rsidR="00881A39" w:rsidRDefault="00881A39" w:rsidP="00C7645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881A39" w:rsidRDefault="00881A39" w:rsidP="0059314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Follow-up due February 2020</w:t>
            </w:r>
          </w:p>
        </w:tc>
        <w:tc>
          <w:tcPr>
            <w:tcW w:w="2693" w:type="dxa"/>
            <w:gridSpan w:val="2"/>
            <w:shd w:val="thinReverseDiagStripe" w:color="auto" w:fill="FFFFFF" w:themeFill="background1"/>
          </w:tcPr>
          <w:p w:rsidR="00881A39" w:rsidRDefault="00881A39" w:rsidP="00C7645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A39" w:rsidTr="00C721DD">
        <w:trPr>
          <w:cantSplit/>
          <w:trHeight w:val="20"/>
          <w:tblHeader/>
        </w:trPr>
        <w:tc>
          <w:tcPr>
            <w:tcW w:w="2660" w:type="dxa"/>
          </w:tcPr>
          <w:p w:rsidR="00881A39" w:rsidRDefault="00881A39">
            <w:pPr>
              <w:spacing w:before="100" w:beforeAutospacing="1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</w:pPr>
            <w:r w:rsidRPr="003A3E9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Trade Waste Collection</w:t>
            </w:r>
          </w:p>
        </w:tc>
        <w:tc>
          <w:tcPr>
            <w:tcW w:w="2696" w:type="dxa"/>
            <w:gridSpan w:val="2"/>
            <w:shd w:val="clear" w:color="auto" w:fill="FFC000"/>
          </w:tcPr>
          <w:p w:rsidR="00881A39" w:rsidRDefault="00881A39" w:rsidP="005519E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881A39" w:rsidRPr="00BE7A42" w:rsidRDefault="00881A39" w:rsidP="003A3E9E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Issued in draft 24/06/19 – </w:t>
            </w:r>
            <w:r w:rsidR="003A3E9E">
              <w:rPr>
                <w:rFonts w:ascii="Arial" w:hAnsi="Arial" w:cs="Arial"/>
                <w:sz w:val="20"/>
                <w:szCs w:val="20"/>
              </w:rPr>
              <w:t>there has been a delay in the response to this review due to a change in personnel however the majority of the responses have now been received and the final report will be issued shortly.</w:t>
            </w:r>
          </w:p>
        </w:tc>
        <w:tc>
          <w:tcPr>
            <w:tcW w:w="2693" w:type="dxa"/>
            <w:gridSpan w:val="2"/>
            <w:shd w:val="thinReverseDiagStripe" w:color="auto" w:fill="FFFFFF" w:themeFill="background1"/>
          </w:tcPr>
          <w:p w:rsidR="00881A39" w:rsidRDefault="00881A39" w:rsidP="00C7645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A39" w:rsidTr="00C721DD">
        <w:trPr>
          <w:cantSplit/>
          <w:trHeight w:val="20"/>
          <w:tblHeader/>
        </w:trPr>
        <w:tc>
          <w:tcPr>
            <w:tcW w:w="2660" w:type="dxa"/>
          </w:tcPr>
          <w:p w:rsidR="00881A39" w:rsidRDefault="00881A39">
            <w:pPr>
              <w:spacing w:before="100" w:beforeAutospacing="1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Fly Tipping</w:t>
            </w:r>
          </w:p>
        </w:tc>
        <w:tc>
          <w:tcPr>
            <w:tcW w:w="2696" w:type="dxa"/>
            <w:gridSpan w:val="2"/>
            <w:shd w:val="clear" w:color="auto" w:fill="FFC000"/>
          </w:tcPr>
          <w:p w:rsidR="00881A39" w:rsidRDefault="00881A39" w:rsidP="005519E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81A39" w:rsidRDefault="00881A39" w:rsidP="00593142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Follow-up due May 2020</w:t>
            </w:r>
          </w:p>
        </w:tc>
        <w:tc>
          <w:tcPr>
            <w:tcW w:w="2693" w:type="dxa"/>
            <w:gridSpan w:val="2"/>
            <w:shd w:val="thinReverseDiagStripe" w:color="auto" w:fill="FFFFFF" w:themeFill="background1"/>
          </w:tcPr>
          <w:p w:rsidR="00881A39" w:rsidRDefault="00881A39" w:rsidP="00C7645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A39" w:rsidTr="00C721DD">
        <w:trPr>
          <w:cantSplit/>
          <w:trHeight w:val="20"/>
          <w:tblHeader/>
        </w:trPr>
        <w:tc>
          <w:tcPr>
            <w:tcW w:w="2660" w:type="dxa"/>
          </w:tcPr>
          <w:p w:rsidR="00881A39" w:rsidRPr="00BE7A42" w:rsidRDefault="00881A39" w:rsidP="00E64E7E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Depot Security (Emerging Risk)</w:t>
            </w:r>
          </w:p>
        </w:tc>
        <w:tc>
          <w:tcPr>
            <w:tcW w:w="2696" w:type="dxa"/>
            <w:gridSpan w:val="2"/>
            <w:shd w:val="clear" w:color="auto" w:fill="FFC000"/>
          </w:tcPr>
          <w:p w:rsidR="00881A39" w:rsidRDefault="00881A39" w:rsidP="00D375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2977" w:type="dxa"/>
            <w:gridSpan w:val="2"/>
            <w:shd w:val="thinReverseDiagStripe" w:color="auto" w:fill="FFFFFF" w:themeFill="background1"/>
          </w:tcPr>
          <w:p w:rsidR="00881A39" w:rsidRPr="00D375F1" w:rsidRDefault="00881A39" w:rsidP="0059314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81A39" w:rsidRDefault="00BE3227" w:rsidP="00E64E7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</w:t>
            </w:r>
            <w:r w:rsidR="00881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 progress – awaiting reply</w:t>
            </w:r>
          </w:p>
        </w:tc>
      </w:tr>
      <w:tr w:rsidR="00881A39" w:rsidTr="00C721DD">
        <w:trPr>
          <w:cantSplit/>
          <w:trHeight w:val="20"/>
          <w:tblHeader/>
        </w:trPr>
        <w:tc>
          <w:tcPr>
            <w:tcW w:w="2660" w:type="dxa"/>
          </w:tcPr>
          <w:p w:rsidR="00881A39" w:rsidRDefault="00881A39" w:rsidP="00E64E7E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Parking – CEO Shifts</w:t>
            </w:r>
          </w:p>
        </w:tc>
        <w:tc>
          <w:tcPr>
            <w:tcW w:w="2696" w:type="dxa"/>
            <w:gridSpan w:val="2"/>
            <w:shd w:val="clear" w:color="auto" w:fill="FFC000"/>
          </w:tcPr>
          <w:p w:rsidR="00881A39" w:rsidRDefault="00881A39" w:rsidP="00D375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2977" w:type="dxa"/>
            <w:gridSpan w:val="2"/>
            <w:shd w:val="thinReverseDiagStripe" w:color="auto" w:fill="FFFFFF" w:themeFill="background1"/>
          </w:tcPr>
          <w:p w:rsidR="00881A39" w:rsidRPr="00D375F1" w:rsidRDefault="00881A39" w:rsidP="0059314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1A39" w:rsidRPr="00D375F1" w:rsidRDefault="00BE3227" w:rsidP="00E64E7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Follow up in progress</w:t>
            </w:r>
          </w:p>
        </w:tc>
      </w:tr>
      <w:tr w:rsidR="00881A39" w:rsidTr="00C721DD">
        <w:trPr>
          <w:cantSplit/>
          <w:trHeight w:val="20"/>
          <w:tblHeader/>
        </w:trPr>
        <w:tc>
          <w:tcPr>
            <w:tcW w:w="2660" w:type="dxa"/>
          </w:tcPr>
          <w:p w:rsidR="00881A39" w:rsidRDefault="00881A39" w:rsidP="00D375F1">
            <w:pPr>
              <w:spacing w:before="100" w:beforeAutospacing="1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Housing Landlord Responsibilities - Health &amp; Safety Compliance </w:t>
            </w:r>
          </w:p>
        </w:tc>
        <w:tc>
          <w:tcPr>
            <w:tcW w:w="2696" w:type="dxa"/>
            <w:gridSpan w:val="2"/>
            <w:shd w:val="clear" w:color="auto" w:fill="FFC000"/>
          </w:tcPr>
          <w:p w:rsidR="00881A39" w:rsidRDefault="00881A39" w:rsidP="00D375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2977" w:type="dxa"/>
            <w:gridSpan w:val="2"/>
          </w:tcPr>
          <w:p w:rsidR="00881A39" w:rsidRPr="00D375F1" w:rsidRDefault="00881A39" w:rsidP="0059314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Follow-up due Jan 2020</w:t>
            </w:r>
          </w:p>
        </w:tc>
        <w:tc>
          <w:tcPr>
            <w:tcW w:w="2693" w:type="dxa"/>
            <w:gridSpan w:val="2"/>
            <w:shd w:val="thinReverseDiagStripe" w:color="auto" w:fill="FFFFFF" w:themeFill="background1"/>
          </w:tcPr>
          <w:p w:rsidR="00881A39" w:rsidRDefault="00881A39" w:rsidP="00E64E7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39" w:rsidTr="00C721DD">
        <w:trPr>
          <w:cantSplit/>
          <w:trHeight w:val="20"/>
          <w:tblHeader/>
        </w:trPr>
        <w:tc>
          <w:tcPr>
            <w:tcW w:w="2660" w:type="dxa"/>
          </w:tcPr>
          <w:p w:rsidR="00881A39" w:rsidRDefault="00881A39" w:rsidP="00D375F1">
            <w:pPr>
              <w:spacing w:before="100" w:beforeAutospacing="1" w:line="240" w:lineRule="atLeas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GB"/>
              </w:rPr>
            </w:pPr>
            <w:r w:rsidRPr="003A3E9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Waste – Landfill, Recycling &amp; Weighbridge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FF0000"/>
          </w:tcPr>
          <w:p w:rsidR="00881A39" w:rsidRDefault="00881A39" w:rsidP="00D375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RED</w:t>
            </w:r>
          </w:p>
        </w:tc>
        <w:tc>
          <w:tcPr>
            <w:tcW w:w="1420" w:type="dxa"/>
            <w:shd w:val="clear" w:color="auto" w:fill="FFC000"/>
          </w:tcPr>
          <w:p w:rsidR="00881A39" w:rsidRDefault="00881A39" w:rsidP="00D375F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2977" w:type="dxa"/>
            <w:gridSpan w:val="2"/>
          </w:tcPr>
          <w:p w:rsidR="00881A39" w:rsidRPr="00D375F1" w:rsidRDefault="00881A39" w:rsidP="003A3E9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Follow-up commenced January 2019, initial response provided in May by </w:t>
            </w:r>
            <w:r w:rsidR="003A3E9E">
              <w:rPr>
                <w:rFonts w:ascii="Arial" w:hAnsi="Arial" w:cs="Arial"/>
                <w:sz w:val="20"/>
                <w:szCs w:val="20"/>
              </w:rPr>
              <w:t xml:space="preserve">the Head of Environment &amp; Waste Strategy however </w:t>
            </w:r>
            <w:r>
              <w:rPr>
                <w:rFonts w:ascii="Arial" w:hAnsi="Arial" w:cs="Arial"/>
                <w:sz w:val="20"/>
                <w:szCs w:val="20"/>
              </w:rPr>
              <w:t>evidence never received</w:t>
            </w:r>
            <w:r w:rsidR="003A3E9E">
              <w:rPr>
                <w:rFonts w:ascii="Arial" w:hAnsi="Arial" w:cs="Arial"/>
                <w:sz w:val="20"/>
                <w:szCs w:val="20"/>
              </w:rPr>
              <w:t>.  Change in personal has caused difficulty in obtaining this evidence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A3E9E">
              <w:rPr>
                <w:rFonts w:ascii="Arial" w:hAnsi="Arial" w:cs="Arial"/>
                <w:sz w:val="20"/>
                <w:szCs w:val="20"/>
              </w:rPr>
              <w:t xml:space="preserve"> but progress has been made in the last week.</w:t>
            </w:r>
            <w:r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  <w:tc>
          <w:tcPr>
            <w:tcW w:w="2693" w:type="dxa"/>
            <w:gridSpan w:val="2"/>
            <w:shd w:val="thinReverseDiagStripe" w:color="auto" w:fill="FFFFFF" w:themeFill="background1"/>
          </w:tcPr>
          <w:p w:rsidR="00881A39" w:rsidRPr="00D375F1" w:rsidRDefault="00881A39" w:rsidP="0059314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39" w:rsidTr="00C721DD">
        <w:trPr>
          <w:cantSplit/>
          <w:trHeight w:val="20"/>
          <w:tblHeader/>
        </w:trPr>
        <w:tc>
          <w:tcPr>
            <w:tcW w:w="2660" w:type="dxa"/>
          </w:tcPr>
          <w:p w:rsidR="00881A39" w:rsidRDefault="00881A39" w:rsidP="0096515E">
            <w:pPr>
              <w:spacing w:before="100" w:before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Grange Primary School – Governance &amp; Financial Control</w:t>
            </w:r>
          </w:p>
        </w:tc>
        <w:tc>
          <w:tcPr>
            <w:tcW w:w="1276" w:type="dxa"/>
            <w:shd w:val="clear" w:color="auto" w:fill="FFC000"/>
          </w:tcPr>
          <w:p w:rsidR="00881A39" w:rsidRPr="002C4014" w:rsidRDefault="00881A39" w:rsidP="0096515E">
            <w:pPr>
              <w:spacing w:before="100" w:beforeAutospacing="1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420" w:type="dxa"/>
            <w:shd w:val="clear" w:color="auto" w:fill="92D050"/>
          </w:tcPr>
          <w:p w:rsidR="00881A39" w:rsidRPr="00261363" w:rsidRDefault="00881A39" w:rsidP="0096515E">
            <w:pPr>
              <w:spacing w:before="100" w:beforeAutospacing="1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613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77" w:type="dxa"/>
            <w:gridSpan w:val="2"/>
          </w:tcPr>
          <w:p w:rsidR="00881A39" w:rsidRDefault="00881A39" w:rsidP="005931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progress- awaiting reply</w:t>
            </w:r>
          </w:p>
        </w:tc>
        <w:tc>
          <w:tcPr>
            <w:tcW w:w="2693" w:type="dxa"/>
            <w:gridSpan w:val="2"/>
            <w:shd w:val="thinReverseDiagStripe" w:color="auto" w:fill="FFFFFF" w:themeFill="background1"/>
          </w:tcPr>
          <w:p w:rsidR="00881A39" w:rsidRDefault="00881A39" w:rsidP="00D375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39" w:rsidTr="00C721DD">
        <w:trPr>
          <w:cantSplit/>
          <w:trHeight w:val="20"/>
          <w:tblHeader/>
        </w:trPr>
        <w:tc>
          <w:tcPr>
            <w:tcW w:w="2660" w:type="dxa"/>
          </w:tcPr>
          <w:p w:rsidR="00881A39" w:rsidRDefault="00881A39" w:rsidP="0096515E">
            <w:pPr>
              <w:spacing w:before="100" w:before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Pinner Park Infants &amp; Nursery - Governance &amp; Financial Control</w:t>
            </w:r>
          </w:p>
        </w:tc>
        <w:tc>
          <w:tcPr>
            <w:tcW w:w="1276" w:type="dxa"/>
            <w:shd w:val="clear" w:color="auto" w:fill="FFC000"/>
          </w:tcPr>
          <w:p w:rsidR="00881A39" w:rsidRPr="002C4014" w:rsidRDefault="00881A39" w:rsidP="0096515E">
            <w:pPr>
              <w:spacing w:before="100" w:beforeAutospacing="1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1420" w:type="dxa"/>
            <w:shd w:val="clear" w:color="auto" w:fill="92D050"/>
          </w:tcPr>
          <w:p w:rsidR="00881A39" w:rsidRPr="00261363" w:rsidRDefault="00881A39" w:rsidP="0096515E">
            <w:pPr>
              <w:spacing w:before="100" w:beforeAutospacing="1" w:line="24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613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2977" w:type="dxa"/>
            <w:gridSpan w:val="2"/>
          </w:tcPr>
          <w:p w:rsidR="00881A39" w:rsidRDefault="00881A39" w:rsidP="005931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progress – awaiting reply (new Head)</w:t>
            </w:r>
          </w:p>
        </w:tc>
        <w:tc>
          <w:tcPr>
            <w:tcW w:w="2693" w:type="dxa"/>
            <w:gridSpan w:val="2"/>
            <w:shd w:val="thinReverseDiagStripe" w:color="auto" w:fill="FFFFFF" w:themeFill="background1"/>
          </w:tcPr>
          <w:p w:rsidR="00881A39" w:rsidRDefault="00881A39" w:rsidP="00D375F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39" w:rsidTr="00C721DD">
        <w:trPr>
          <w:cantSplit/>
          <w:trHeight w:val="20"/>
          <w:tblHeader/>
        </w:trPr>
        <w:tc>
          <w:tcPr>
            <w:tcW w:w="2660" w:type="dxa"/>
          </w:tcPr>
          <w:p w:rsidR="00881A39" w:rsidRDefault="00881A39" w:rsidP="0096515E">
            <w:pPr>
              <w:spacing w:before="100" w:before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Roxbourne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Primary - Governance &amp; Financial Control</w:t>
            </w:r>
          </w:p>
        </w:tc>
        <w:tc>
          <w:tcPr>
            <w:tcW w:w="2696" w:type="dxa"/>
            <w:gridSpan w:val="2"/>
            <w:shd w:val="clear" w:color="auto" w:fill="FFC000"/>
          </w:tcPr>
          <w:p w:rsidR="00881A39" w:rsidRPr="002C4014" w:rsidRDefault="00881A39" w:rsidP="00261363">
            <w:pPr>
              <w:spacing w:before="100" w:beforeAutospacing="1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AMBER</w:t>
            </w:r>
          </w:p>
        </w:tc>
        <w:tc>
          <w:tcPr>
            <w:tcW w:w="2977" w:type="dxa"/>
            <w:gridSpan w:val="2"/>
          </w:tcPr>
          <w:p w:rsidR="00881A39" w:rsidRDefault="00881A39" w:rsidP="00593142">
            <w:pPr>
              <w:spacing w:before="100" w:before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progress – awaiting reply</w:t>
            </w:r>
          </w:p>
        </w:tc>
        <w:tc>
          <w:tcPr>
            <w:tcW w:w="2693" w:type="dxa"/>
            <w:gridSpan w:val="2"/>
            <w:shd w:val="thinReverseDiagStripe" w:color="auto" w:fill="FFFFFF" w:themeFill="background1"/>
          </w:tcPr>
          <w:p w:rsidR="00881A39" w:rsidRDefault="00881A39" w:rsidP="00593142">
            <w:pPr>
              <w:spacing w:before="100" w:before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39" w:rsidTr="00C721DD">
        <w:trPr>
          <w:cantSplit/>
          <w:trHeight w:val="20"/>
          <w:tblHeader/>
        </w:trPr>
        <w:tc>
          <w:tcPr>
            <w:tcW w:w="2660" w:type="dxa"/>
          </w:tcPr>
          <w:p w:rsidR="00881A39" w:rsidRPr="00141CBE" w:rsidRDefault="00881A39" w:rsidP="0096515E">
            <w:pPr>
              <w:spacing w:before="100" w:before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Kingsley - Budget Management</w:t>
            </w:r>
          </w:p>
        </w:tc>
        <w:tc>
          <w:tcPr>
            <w:tcW w:w="2696" w:type="dxa"/>
            <w:gridSpan w:val="2"/>
            <w:shd w:val="clear" w:color="auto" w:fill="FF0000"/>
          </w:tcPr>
          <w:p w:rsidR="00881A39" w:rsidRPr="002C4014" w:rsidRDefault="00881A39" w:rsidP="00261363">
            <w:pPr>
              <w:spacing w:before="100" w:beforeAutospacing="1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RED</w:t>
            </w:r>
          </w:p>
        </w:tc>
        <w:tc>
          <w:tcPr>
            <w:tcW w:w="2977" w:type="dxa"/>
            <w:gridSpan w:val="2"/>
          </w:tcPr>
          <w:p w:rsidR="00881A39" w:rsidRDefault="00881A39" w:rsidP="00593142">
            <w:pPr>
              <w:spacing w:before="100" w:before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Follow-up due January 2020</w:t>
            </w:r>
          </w:p>
        </w:tc>
        <w:tc>
          <w:tcPr>
            <w:tcW w:w="2693" w:type="dxa"/>
            <w:gridSpan w:val="2"/>
            <w:shd w:val="thinReverseDiagStripe" w:color="auto" w:fill="FFFFFF" w:themeFill="background1"/>
          </w:tcPr>
          <w:p w:rsidR="00881A39" w:rsidRDefault="00881A39" w:rsidP="00593142">
            <w:pPr>
              <w:spacing w:before="100" w:before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39" w:rsidTr="00C721DD">
        <w:trPr>
          <w:cantSplit/>
          <w:trHeight w:val="20"/>
          <w:tblHeader/>
        </w:trPr>
        <w:tc>
          <w:tcPr>
            <w:tcW w:w="2660" w:type="dxa"/>
          </w:tcPr>
          <w:p w:rsidR="00881A39" w:rsidRPr="00141CBE" w:rsidRDefault="00881A39" w:rsidP="0096515E">
            <w:pPr>
              <w:spacing w:before="100" w:before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Fostering</w:t>
            </w:r>
          </w:p>
        </w:tc>
        <w:tc>
          <w:tcPr>
            <w:tcW w:w="2696" w:type="dxa"/>
            <w:gridSpan w:val="2"/>
            <w:shd w:val="clear" w:color="auto" w:fill="FFC000"/>
          </w:tcPr>
          <w:p w:rsidR="00881A39" w:rsidRPr="00BE72A1" w:rsidRDefault="00881A39" w:rsidP="0026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2A1">
              <w:rPr>
                <w:rFonts w:ascii="Arial" w:hAnsi="Arial" w:cs="Arial"/>
                <w:b/>
                <w:sz w:val="20"/>
                <w:szCs w:val="20"/>
              </w:rPr>
              <w:t>AMBER</w:t>
            </w:r>
          </w:p>
        </w:tc>
        <w:tc>
          <w:tcPr>
            <w:tcW w:w="2977" w:type="dxa"/>
            <w:gridSpan w:val="2"/>
          </w:tcPr>
          <w:p w:rsidR="00881A39" w:rsidRDefault="00881A39" w:rsidP="00593142">
            <w:pPr>
              <w:spacing w:before="100" w:before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Follow up due May 2020</w:t>
            </w:r>
          </w:p>
        </w:tc>
        <w:tc>
          <w:tcPr>
            <w:tcW w:w="2693" w:type="dxa"/>
            <w:gridSpan w:val="2"/>
            <w:shd w:val="thinReverseDiagStripe" w:color="auto" w:fill="FFFFFF" w:themeFill="background1"/>
          </w:tcPr>
          <w:p w:rsidR="00881A39" w:rsidRDefault="00881A39" w:rsidP="00593142">
            <w:pPr>
              <w:spacing w:before="100" w:before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39" w:rsidTr="00C721DD">
        <w:trPr>
          <w:cantSplit/>
          <w:trHeight w:val="20"/>
          <w:tblHeader/>
        </w:trPr>
        <w:tc>
          <w:tcPr>
            <w:tcW w:w="2660" w:type="dxa"/>
          </w:tcPr>
          <w:p w:rsidR="00881A39" w:rsidRPr="00A9663B" w:rsidRDefault="00881A39" w:rsidP="0096515E">
            <w:pPr>
              <w:spacing w:before="100" w:before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B65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Budgets - Children with Disabilities</w:t>
            </w:r>
          </w:p>
        </w:tc>
        <w:tc>
          <w:tcPr>
            <w:tcW w:w="2696" w:type="dxa"/>
            <w:gridSpan w:val="2"/>
            <w:shd w:val="clear" w:color="auto" w:fill="FFC000"/>
          </w:tcPr>
          <w:p w:rsidR="00881A39" w:rsidRPr="00BE72A1" w:rsidRDefault="00881A39" w:rsidP="0026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2A1">
              <w:rPr>
                <w:rFonts w:ascii="Arial" w:hAnsi="Arial" w:cs="Arial"/>
                <w:b/>
                <w:sz w:val="20"/>
                <w:szCs w:val="20"/>
              </w:rPr>
              <w:t>AMBER</w:t>
            </w:r>
          </w:p>
        </w:tc>
        <w:tc>
          <w:tcPr>
            <w:tcW w:w="2977" w:type="dxa"/>
            <w:gridSpan w:val="2"/>
          </w:tcPr>
          <w:p w:rsidR="00881A39" w:rsidRDefault="00881A39" w:rsidP="00593142">
            <w:pPr>
              <w:spacing w:before="100" w:before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Follow-up Feb 2020</w:t>
            </w:r>
          </w:p>
        </w:tc>
        <w:tc>
          <w:tcPr>
            <w:tcW w:w="2693" w:type="dxa"/>
            <w:gridSpan w:val="2"/>
            <w:shd w:val="thinReverseDiagStripe" w:color="auto" w:fill="FFFFFF" w:themeFill="background1"/>
          </w:tcPr>
          <w:p w:rsidR="00881A39" w:rsidRDefault="00881A39" w:rsidP="00593142">
            <w:pPr>
              <w:spacing w:before="100" w:before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39" w:rsidTr="00C721DD">
        <w:trPr>
          <w:cantSplit/>
          <w:trHeight w:val="20"/>
          <w:tblHeader/>
        </w:trPr>
        <w:tc>
          <w:tcPr>
            <w:tcW w:w="2660" w:type="dxa"/>
          </w:tcPr>
          <w:p w:rsidR="00881A39" w:rsidRPr="00A9663B" w:rsidRDefault="00881A39" w:rsidP="0096515E">
            <w:pPr>
              <w:spacing w:before="100" w:before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Budgets - Sample Testing</w:t>
            </w:r>
          </w:p>
        </w:tc>
        <w:tc>
          <w:tcPr>
            <w:tcW w:w="2696" w:type="dxa"/>
            <w:gridSpan w:val="2"/>
            <w:shd w:val="clear" w:color="auto" w:fill="FFC000"/>
          </w:tcPr>
          <w:p w:rsidR="00881A39" w:rsidRPr="006C6C30" w:rsidRDefault="00881A39" w:rsidP="0026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6C30">
              <w:rPr>
                <w:rFonts w:ascii="Arial" w:hAnsi="Arial" w:cs="Arial"/>
                <w:b/>
                <w:sz w:val="20"/>
                <w:szCs w:val="20"/>
              </w:rPr>
              <w:t>AMBER</w:t>
            </w:r>
          </w:p>
        </w:tc>
        <w:tc>
          <w:tcPr>
            <w:tcW w:w="2977" w:type="dxa"/>
            <w:gridSpan w:val="2"/>
          </w:tcPr>
          <w:p w:rsidR="00881A39" w:rsidRDefault="00881A39" w:rsidP="00593142">
            <w:pPr>
              <w:spacing w:before="100" w:before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Follow up May 2020</w:t>
            </w:r>
          </w:p>
        </w:tc>
        <w:tc>
          <w:tcPr>
            <w:tcW w:w="2693" w:type="dxa"/>
            <w:gridSpan w:val="2"/>
            <w:shd w:val="thinReverseDiagStripe" w:color="auto" w:fill="FFFFFF" w:themeFill="background1"/>
          </w:tcPr>
          <w:p w:rsidR="00881A39" w:rsidRDefault="00881A39" w:rsidP="00593142">
            <w:pPr>
              <w:spacing w:before="100" w:before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39" w:rsidTr="00C721DD">
        <w:trPr>
          <w:cantSplit/>
          <w:trHeight w:val="20"/>
          <w:tblHeader/>
        </w:trPr>
        <w:tc>
          <w:tcPr>
            <w:tcW w:w="2660" w:type="dxa"/>
          </w:tcPr>
          <w:p w:rsidR="00881A39" w:rsidRDefault="00881A39" w:rsidP="0096515E">
            <w:pPr>
              <w:spacing w:before="100" w:before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Parking Whistleblowing</w:t>
            </w:r>
          </w:p>
        </w:tc>
        <w:tc>
          <w:tcPr>
            <w:tcW w:w="2696" w:type="dxa"/>
            <w:gridSpan w:val="2"/>
            <w:shd w:val="clear" w:color="auto" w:fill="FF0000"/>
          </w:tcPr>
          <w:p w:rsidR="00881A39" w:rsidRPr="006C6C30" w:rsidRDefault="00881A39" w:rsidP="002613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</w:t>
            </w:r>
          </w:p>
        </w:tc>
        <w:tc>
          <w:tcPr>
            <w:tcW w:w="2977" w:type="dxa"/>
            <w:gridSpan w:val="2"/>
            <w:shd w:val="thinReverseDiagStripe" w:color="auto" w:fill="auto"/>
          </w:tcPr>
          <w:p w:rsidR="00881A39" w:rsidRDefault="00881A39" w:rsidP="00593142">
            <w:pPr>
              <w:spacing w:before="100" w:before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81A39" w:rsidRDefault="00BE3227" w:rsidP="00593142">
            <w:pPr>
              <w:spacing w:before="100" w:before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Follow up in progress</w:t>
            </w:r>
          </w:p>
        </w:tc>
      </w:tr>
    </w:tbl>
    <w:p w:rsidR="00D86F82" w:rsidRDefault="00D86F82" w:rsidP="00D86F8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913A9" w:rsidRDefault="000913A9" w:rsidP="00D86F8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* </w:t>
      </w:r>
      <w:r w:rsidRPr="000913A9">
        <w:rPr>
          <w:rFonts w:ascii="Arial" w:eastAsia="Times New Roman" w:hAnsi="Arial" w:cs="Arial"/>
          <w:b/>
          <w:sz w:val="24"/>
          <w:szCs w:val="24"/>
          <w:lang w:eastAsia="en-GB"/>
        </w:rPr>
        <w:t>Regeneration Programme: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 initial follow-up was undertaken in </w:t>
      </w:r>
      <w:r w:rsidR="00DA3B37">
        <w:rPr>
          <w:rFonts w:ascii="Arial" w:eastAsia="Times New Roman" w:hAnsi="Arial" w:cs="Arial"/>
          <w:sz w:val="24"/>
          <w:szCs w:val="24"/>
          <w:lang w:eastAsia="en-GB"/>
        </w:rPr>
        <w:t>May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2019</w:t>
      </w:r>
      <w:r w:rsidR="00565F52">
        <w:rPr>
          <w:rFonts w:ascii="Arial" w:eastAsia="Times New Roman" w:hAnsi="Arial" w:cs="Arial"/>
          <w:sz w:val="24"/>
          <w:szCs w:val="24"/>
          <w:lang w:eastAsia="en-GB"/>
        </w:rPr>
        <w:t xml:space="preserve"> with a re-assessed assurance rating of Amber, a second follow-up was undertaken</w:t>
      </w:r>
      <w:r w:rsidR="00DA3B3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65F5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A3B37">
        <w:rPr>
          <w:rFonts w:ascii="Arial" w:eastAsia="Times New Roman" w:hAnsi="Arial" w:cs="Arial"/>
          <w:sz w:val="24"/>
          <w:szCs w:val="24"/>
          <w:lang w:eastAsia="en-GB"/>
        </w:rPr>
        <w:t xml:space="preserve">following a request from the Building a Better Harrow Board, </w:t>
      </w:r>
      <w:r w:rsidR="00565F52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 w:rsidR="00DA3B37">
        <w:rPr>
          <w:rFonts w:ascii="Arial" w:eastAsia="Times New Roman" w:hAnsi="Arial" w:cs="Arial"/>
          <w:sz w:val="24"/>
          <w:szCs w:val="24"/>
          <w:lang w:eastAsia="en-GB"/>
        </w:rPr>
        <w:t>August</w:t>
      </w:r>
      <w:r w:rsidR="00565F52">
        <w:rPr>
          <w:rFonts w:ascii="Arial" w:eastAsia="Times New Roman" w:hAnsi="Arial" w:cs="Arial"/>
          <w:sz w:val="24"/>
          <w:szCs w:val="24"/>
          <w:lang w:eastAsia="en-GB"/>
        </w:rPr>
        <w:t xml:space="preserve"> 2019 that resulted in an Amber</w:t>
      </w:r>
      <w:r w:rsidR="00DA3B37">
        <w:rPr>
          <w:rFonts w:ascii="Arial" w:eastAsia="Times New Roman" w:hAnsi="Arial" w:cs="Arial"/>
          <w:sz w:val="24"/>
          <w:szCs w:val="24"/>
          <w:lang w:eastAsia="en-GB"/>
        </w:rPr>
        <w:t>/Green</w:t>
      </w:r>
      <w:r w:rsidR="00565F52">
        <w:rPr>
          <w:rFonts w:ascii="Arial" w:eastAsia="Times New Roman" w:hAnsi="Arial" w:cs="Arial"/>
          <w:sz w:val="24"/>
          <w:szCs w:val="24"/>
          <w:lang w:eastAsia="en-GB"/>
        </w:rPr>
        <w:t xml:space="preserve"> assurance rating.    </w:t>
      </w:r>
    </w:p>
    <w:p w:rsidR="000913A9" w:rsidRPr="000913A9" w:rsidRDefault="000913A9" w:rsidP="00D86F8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34776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** </w:t>
      </w:r>
      <w:r w:rsidRPr="004347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SNT: </w:t>
      </w:r>
      <w:r w:rsidRPr="00434776">
        <w:rPr>
          <w:rFonts w:ascii="Arial" w:eastAsia="Times New Roman" w:hAnsi="Arial" w:cs="Arial"/>
          <w:sz w:val="24"/>
          <w:szCs w:val="24"/>
          <w:lang w:eastAsia="en-GB"/>
        </w:rPr>
        <w:t xml:space="preserve">An initial follow-up was undertaken in September 2019 with a re-assessed assurance rating of Red/Amber, </w:t>
      </w:r>
      <w:r w:rsidR="00565F52" w:rsidRPr="00434776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434776">
        <w:rPr>
          <w:rFonts w:ascii="Arial" w:eastAsia="Times New Roman" w:hAnsi="Arial" w:cs="Arial"/>
          <w:sz w:val="24"/>
          <w:szCs w:val="24"/>
          <w:lang w:eastAsia="en-GB"/>
        </w:rPr>
        <w:t xml:space="preserve"> second follow-up was undertaken in </w:t>
      </w:r>
      <w:r w:rsidR="00565F52" w:rsidRPr="00434776">
        <w:rPr>
          <w:rFonts w:ascii="Arial" w:eastAsia="Times New Roman" w:hAnsi="Arial" w:cs="Arial"/>
          <w:sz w:val="24"/>
          <w:szCs w:val="24"/>
          <w:lang w:eastAsia="en-GB"/>
        </w:rPr>
        <w:t>November 2019 that resulted in an Amber assurance rating.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</w:p>
    <w:p w:rsidR="000913A9" w:rsidRPr="000913A9" w:rsidRDefault="000913A9" w:rsidP="00D86F82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</w:t>
      </w:r>
    </w:p>
    <w:p w:rsidR="00844C96" w:rsidRPr="00CB7485" w:rsidRDefault="00844C96" w:rsidP="00844C9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CB7485">
        <w:rPr>
          <w:rFonts w:ascii="Arial" w:eastAsia="+mn-ea" w:hAnsi="Arial" w:cs="+mn-cs"/>
          <w:b/>
          <w:bCs/>
          <w:iCs/>
          <w:color w:val="242852"/>
          <w:kern w:val="24"/>
          <w:sz w:val="24"/>
          <w:szCs w:val="24"/>
          <w:lang w:eastAsia="en-GB"/>
        </w:rPr>
        <w:t>Summary</w:t>
      </w:r>
      <w:r w:rsidR="00371F94">
        <w:rPr>
          <w:rFonts w:ascii="Arial" w:eastAsia="+mn-ea" w:hAnsi="Arial" w:cs="+mn-cs"/>
          <w:b/>
          <w:bCs/>
          <w:iCs/>
          <w:color w:val="242852"/>
          <w:kern w:val="24"/>
          <w:sz w:val="24"/>
          <w:szCs w:val="24"/>
          <w:lang w:eastAsia="en-GB"/>
        </w:rPr>
        <w:t xml:space="preserve"> (as at end Q3)</w:t>
      </w:r>
    </w:p>
    <w:p w:rsidR="007D5F62" w:rsidRDefault="00FD54FA" w:rsidP="007C3B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3142">
        <w:rPr>
          <w:rFonts w:ascii="Arial" w:hAnsi="Arial" w:cs="Arial"/>
          <w:sz w:val="24"/>
          <w:szCs w:val="24"/>
        </w:rPr>
        <w:t>70</w:t>
      </w:r>
      <w:r w:rsidR="00CB7485" w:rsidRPr="00593142">
        <w:rPr>
          <w:rFonts w:ascii="Arial" w:hAnsi="Arial" w:cs="Arial"/>
          <w:sz w:val="24"/>
          <w:szCs w:val="24"/>
        </w:rPr>
        <w:t xml:space="preserve">% of recommendations were implemented/substantially implemented at the time of follow-up, with a further </w:t>
      </w:r>
      <w:r w:rsidRPr="00593142">
        <w:rPr>
          <w:rFonts w:ascii="Arial" w:hAnsi="Arial" w:cs="Arial"/>
          <w:sz w:val="24"/>
          <w:szCs w:val="24"/>
        </w:rPr>
        <w:t>15</w:t>
      </w:r>
      <w:r w:rsidR="00CB7485" w:rsidRPr="00593142">
        <w:rPr>
          <w:rFonts w:ascii="Arial" w:hAnsi="Arial" w:cs="Arial"/>
          <w:sz w:val="24"/>
          <w:szCs w:val="24"/>
        </w:rPr>
        <w:t xml:space="preserve">% in progress and </w:t>
      </w:r>
      <w:r w:rsidRPr="00593142">
        <w:rPr>
          <w:rFonts w:ascii="Arial" w:hAnsi="Arial" w:cs="Arial"/>
          <w:sz w:val="24"/>
          <w:szCs w:val="24"/>
        </w:rPr>
        <w:t>15</w:t>
      </w:r>
      <w:r w:rsidR="00CB7485" w:rsidRPr="00593142">
        <w:rPr>
          <w:rFonts w:ascii="Arial" w:hAnsi="Arial" w:cs="Arial"/>
          <w:sz w:val="24"/>
          <w:szCs w:val="24"/>
        </w:rPr>
        <w:t xml:space="preserve">% </w:t>
      </w:r>
      <w:r w:rsidR="00CB7485" w:rsidRPr="00FD54FA">
        <w:rPr>
          <w:rFonts w:ascii="Arial" w:hAnsi="Arial" w:cs="Arial"/>
          <w:sz w:val="24"/>
          <w:szCs w:val="24"/>
        </w:rPr>
        <w:t>planned. All of the recommendations were still considered appropriate by management and thus it is expected that in due course 100% will be implemented.</w:t>
      </w:r>
      <w:r w:rsidR="00CB7485" w:rsidRPr="00CB7485">
        <w:rPr>
          <w:rFonts w:ascii="Arial" w:hAnsi="Arial" w:cs="Arial"/>
          <w:sz w:val="24"/>
          <w:szCs w:val="24"/>
        </w:rPr>
        <w:t xml:space="preserve">  </w:t>
      </w:r>
    </w:p>
    <w:p w:rsidR="00097937" w:rsidRDefault="00097937" w:rsidP="007C3B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937" w:rsidRDefault="006C3876" w:rsidP="007C3B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7937">
        <w:rPr>
          <w:rFonts w:ascii="Arial" w:hAnsi="Arial" w:cs="Arial"/>
          <w:sz w:val="24"/>
          <w:szCs w:val="24"/>
        </w:rPr>
        <w:t xml:space="preserve">All follow-ups </w:t>
      </w:r>
      <w:r w:rsidR="00C173FD">
        <w:rPr>
          <w:rFonts w:ascii="Arial" w:hAnsi="Arial" w:cs="Arial"/>
          <w:sz w:val="24"/>
          <w:szCs w:val="24"/>
        </w:rPr>
        <w:t xml:space="preserve">undertaken </w:t>
      </w:r>
      <w:r w:rsidRPr="00097937">
        <w:rPr>
          <w:rFonts w:ascii="Arial" w:hAnsi="Arial" w:cs="Arial"/>
          <w:sz w:val="24"/>
          <w:szCs w:val="24"/>
        </w:rPr>
        <w:t>resulted in an improved assurance rating with 100% attaining an amber, amber/green or green assurance rating</w:t>
      </w:r>
      <w:r w:rsidR="00371F94">
        <w:rPr>
          <w:rFonts w:ascii="Arial" w:hAnsi="Arial" w:cs="Arial"/>
          <w:sz w:val="24"/>
          <w:szCs w:val="24"/>
        </w:rPr>
        <w:t xml:space="preserve"> by the end of Q3</w:t>
      </w:r>
      <w:r w:rsidR="00097937">
        <w:rPr>
          <w:rFonts w:ascii="Arial" w:hAnsi="Arial" w:cs="Arial"/>
          <w:sz w:val="24"/>
          <w:szCs w:val="24"/>
        </w:rPr>
        <w:t>.</w:t>
      </w:r>
      <w:r w:rsidR="00291D60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097937" w:rsidRPr="00097937">
        <w:rPr>
          <w:rFonts w:ascii="Arial" w:hAnsi="Arial" w:cs="Arial"/>
          <w:sz w:val="24"/>
          <w:szCs w:val="24"/>
        </w:rPr>
        <w:t xml:space="preserve"> </w:t>
      </w:r>
    </w:p>
    <w:p w:rsidR="007E1F76" w:rsidRPr="00CB7485" w:rsidRDefault="007E1F76" w:rsidP="007C3B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6EA" w:rsidRDefault="00881A39" w:rsidP="00371F94">
      <w:pPr>
        <w:spacing w:after="0" w:line="240" w:lineRule="auto"/>
        <w:rPr>
          <w:rFonts w:ascii="Arial" w:hAnsi="Arial" w:cs="Arial"/>
          <w:b/>
          <w:sz w:val="40"/>
          <w:szCs w:val="40"/>
          <w:shd w:val="clear" w:color="auto" w:fill="FFFFFF" w:themeFill="background1"/>
        </w:rPr>
      </w:pPr>
      <w:r>
        <w:rPr>
          <w:rFonts w:ascii="Arial" w:hAnsi="Arial" w:cs="Arial"/>
          <w:b/>
          <w:sz w:val="40"/>
          <w:szCs w:val="40"/>
          <w:shd w:val="clear" w:color="auto" w:fill="17365D" w:themeFill="text2" w:themeFillShade="BF"/>
        </w:rPr>
        <w:br w:type="page"/>
      </w:r>
      <w:r w:rsidR="001276EA" w:rsidRPr="001276EA">
        <w:rPr>
          <w:rFonts w:ascii="Arial" w:hAnsi="Arial" w:cs="Arial"/>
          <w:b/>
          <w:sz w:val="40"/>
          <w:szCs w:val="40"/>
          <w:shd w:val="clear" w:color="auto" w:fill="17365D" w:themeFill="text2" w:themeFillShade="BF"/>
        </w:rPr>
        <w:lastRenderedPageBreak/>
        <w:t>Performance of Internal Audit</w:t>
      </w:r>
      <w:r w:rsidR="00371F94">
        <w:rPr>
          <w:rFonts w:ascii="Arial" w:hAnsi="Arial" w:cs="Arial"/>
          <w:b/>
          <w:sz w:val="40"/>
          <w:szCs w:val="40"/>
          <w:shd w:val="clear" w:color="auto" w:fill="17365D" w:themeFill="text2" w:themeFillShade="BF"/>
        </w:rPr>
        <w:t xml:space="preserve"> at Mid-Year </w:t>
      </w:r>
      <w:r w:rsidR="001276EA" w:rsidRPr="001276EA">
        <w:rPr>
          <w:rFonts w:ascii="Arial" w:hAnsi="Arial" w:cs="Arial"/>
          <w:b/>
          <w:sz w:val="40"/>
          <w:szCs w:val="40"/>
          <w:shd w:val="clear" w:color="auto" w:fill="FFFFFF" w:themeFill="background1"/>
        </w:rPr>
        <w:t xml:space="preserve"> </w:t>
      </w:r>
    </w:p>
    <w:p w:rsidR="001276EA" w:rsidRDefault="001276EA" w:rsidP="001276EA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7937" w:rsidRDefault="00097937" w:rsidP="001276EA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Introduction </w:t>
      </w:r>
    </w:p>
    <w:p w:rsidR="00097937" w:rsidRDefault="00097937" w:rsidP="001276EA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76EA" w:rsidRDefault="001276EA" w:rsidP="001276EA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number of Key Performance Indicators (KPIs) were agreed as part of the 201</w:t>
      </w:r>
      <w:r w:rsidR="00DA3B3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</w:t>
      </w:r>
      <w:r w:rsidR="00DA3B3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Internal Audit Plan and performance against these is set out in the table below:</w:t>
      </w:r>
    </w:p>
    <w:p w:rsidR="001276EA" w:rsidRDefault="001276EA" w:rsidP="001276EA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3413"/>
        <w:gridCol w:w="993"/>
        <w:gridCol w:w="1134"/>
        <w:gridCol w:w="3344"/>
      </w:tblGrid>
      <w:tr w:rsidR="00E4366B" w:rsidTr="007B0E1E">
        <w:tc>
          <w:tcPr>
            <w:tcW w:w="664" w:type="dxa"/>
            <w:shd w:val="clear" w:color="auto" w:fill="17365D" w:themeFill="text2" w:themeFillShade="BF"/>
          </w:tcPr>
          <w:p w:rsidR="00E4366B" w:rsidRPr="007B0E1E" w:rsidRDefault="00E4366B" w:rsidP="001276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17365D" w:themeFill="text2" w:themeFillShade="BF"/>
          </w:tcPr>
          <w:p w:rsidR="00E4366B" w:rsidRDefault="00E4366B" w:rsidP="001276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Internal Audit </w:t>
            </w:r>
          </w:p>
          <w:p w:rsidR="00E4366B" w:rsidRPr="007B0E1E" w:rsidRDefault="00E4366B" w:rsidP="001276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E1E">
              <w:rPr>
                <w:rFonts w:ascii="Arial" w:hAnsi="Arial" w:cs="Arial"/>
                <w:b/>
                <w:sz w:val="24"/>
                <w:szCs w:val="24"/>
              </w:rPr>
              <w:t>Performance Indicator</w:t>
            </w:r>
          </w:p>
        </w:tc>
        <w:tc>
          <w:tcPr>
            <w:tcW w:w="993" w:type="dxa"/>
            <w:shd w:val="clear" w:color="auto" w:fill="17365D" w:themeFill="text2" w:themeFillShade="BF"/>
          </w:tcPr>
          <w:p w:rsidR="00E4366B" w:rsidRDefault="00E4366B" w:rsidP="001276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  <w:p w:rsidR="00DA3B37" w:rsidRPr="007B0E1E" w:rsidRDefault="00DA3B37" w:rsidP="001276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Mid-Year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:rsidR="00E4366B" w:rsidRPr="007B0E1E" w:rsidRDefault="00DA3B37" w:rsidP="001276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Actual</w:t>
            </w:r>
            <w:r w:rsidR="00E4366B">
              <w:rPr>
                <w:rFonts w:ascii="Arial" w:hAnsi="Arial" w:cs="Arial"/>
                <w:b/>
                <w:sz w:val="24"/>
                <w:szCs w:val="24"/>
              </w:rPr>
              <w:t>Mid</w:t>
            </w:r>
            <w:proofErr w:type="spellEnd"/>
            <w:r w:rsidR="00E4366B">
              <w:rPr>
                <w:rFonts w:ascii="Arial" w:hAnsi="Arial" w:cs="Arial"/>
                <w:b/>
                <w:sz w:val="24"/>
                <w:szCs w:val="24"/>
              </w:rPr>
              <w:t>-Year</w:t>
            </w:r>
          </w:p>
        </w:tc>
        <w:tc>
          <w:tcPr>
            <w:tcW w:w="3344" w:type="dxa"/>
            <w:shd w:val="clear" w:color="auto" w:fill="17365D" w:themeFill="text2" w:themeFillShade="BF"/>
          </w:tcPr>
          <w:p w:rsidR="00E4366B" w:rsidRPr="007B0E1E" w:rsidRDefault="00E4366B" w:rsidP="001276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4366B" w:rsidTr="006D62BA">
        <w:tc>
          <w:tcPr>
            <w:tcW w:w="664" w:type="dxa"/>
          </w:tcPr>
          <w:p w:rsidR="00E4366B" w:rsidRPr="00AF4487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4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3" w:type="dxa"/>
          </w:tcPr>
          <w:p w:rsidR="00E4366B" w:rsidRPr="00AF4487" w:rsidRDefault="00E4366B" w:rsidP="006D6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4487">
              <w:rPr>
                <w:rFonts w:ascii="Arial" w:hAnsi="Arial" w:cs="Arial"/>
                <w:sz w:val="20"/>
                <w:szCs w:val="20"/>
              </w:rPr>
              <w:t>Recommendations agreed for implementation</w:t>
            </w:r>
          </w:p>
        </w:tc>
        <w:tc>
          <w:tcPr>
            <w:tcW w:w="993" w:type="dxa"/>
          </w:tcPr>
          <w:p w:rsidR="00E4366B" w:rsidRPr="00AF4487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487">
              <w:rPr>
                <w:rFonts w:ascii="Arial" w:hAnsi="Arial" w:cs="Arial"/>
                <w:b/>
                <w:sz w:val="20"/>
                <w:szCs w:val="20"/>
              </w:rPr>
              <w:t>95%</w:t>
            </w:r>
          </w:p>
        </w:tc>
        <w:tc>
          <w:tcPr>
            <w:tcW w:w="1134" w:type="dxa"/>
          </w:tcPr>
          <w:p w:rsidR="00E4366B" w:rsidRPr="00593142" w:rsidRDefault="00CF632C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42">
              <w:rPr>
                <w:rFonts w:ascii="Arial" w:hAnsi="Arial" w:cs="Arial"/>
                <w:b/>
                <w:sz w:val="20"/>
                <w:szCs w:val="20"/>
              </w:rPr>
              <w:t>97</w:t>
            </w:r>
            <w:r w:rsidR="00E4366B" w:rsidRPr="00593142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344" w:type="dxa"/>
          </w:tcPr>
          <w:p w:rsidR="00E4366B" w:rsidRPr="00593142" w:rsidRDefault="00E4366B" w:rsidP="008F5D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142">
              <w:rPr>
                <w:rFonts w:ascii="Arial" w:hAnsi="Arial" w:cs="Arial"/>
                <w:b/>
                <w:sz w:val="20"/>
                <w:szCs w:val="20"/>
              </w:rPr>
              <w:t>Exceeded</w:t>
            </w:r>
          </w:p>
          <w:p w:rsidR="00E4366B" w:rsidRPr="00593142" w:rsidRDefault="00DC6470" w:rsidP="008F5D2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93142">
              <w:rPr>
                <w:rFonts w:ascii="Arial" w:hAnsi="Arial" w:cs="Arial"/>
                <w:sz w:val="20"/>
                <w:szCs w:val="20"/>
              </w:rPr>
              <w:t>1 low risk recommendation partially agreed</w:t>
            </w:r>
            <w:r w:rsidR="00E4366B" w:rsidRPr="0059314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C6470" w:rsidRPr="00593142" w:rsidRDefault="00DC6470" w:rsidP="008F5D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66B" w:rsidTr="00B955EC">
        <w:tc>
          <w:tcPr>
            <w:tcW w:w="664" w:type="dxa"/>
          </w:tcPr>
          <w:p w:rsidR="00E4366B" w:rsidRPr="00AF4487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4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3" w:type="dxa"/>
          </w:tcPr>
          <w:p w:rsidR="00E4366B" w:rsidRPr="00AF4487" w:rsidRDefault="00E4366B" w:rsidP="00593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4487">
              <w:rPr>
                <w:rFonts w:ascii="Arial" w:hAnsi="Arial" w:cs="Arial"/>
                <w:sz w:val="20"/>
                <w:szCs w:val="20"/>
              </w:rPr>
              <w:t xml:space="preserve">Follow up </w:t>
            </w:r>
            <w:r w:rsidR="00593142">
              <w:rPr>
                <w:rFonts w:ascii="Arial" w:hAnsi="Arial" w:cs="Arial"/>
                <w:sz w:val="20"/>
                <w:szCs w:val="20"/>
              </w:rPr>
              <w:t>undertaken</w:t>
            </w:r>
          </w:p>
        </w:tc>
        <w:tc>
          <w:tcPr>
            <w:tcW w:w="993" w:type="dxa"/>
          </w:tcPr>
          <w:p w:rsidR="00E4366B" w:rsidRPr="00AF4487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487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4366B" w:rsidRPr="00593142" w:rsidRDefault="007E1F76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42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  <w:p w:rsidR="007E1F76" w:rsidRPr="00593142" w:rsidRDefault="007E1F76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4" w:type="dxa"/>
          </w:tcPr>
          <w:p w:rsidR="000F4EA7" w:rsidRPr="00593142" w:rsidRDefault="007E1F76" w:rsidP="007E1F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142">
              <w:rPr>
                <w:rFonts w:ascii="Arial" w:hAnsi="Arial" w:cs="Arial"/>
                <w:b/>
                <w:sz w:val="20"/>
                <w:szCs w:val="20"/>
              </w:rPr>
              <w:t>Met</w:t>
            </w:r>
          </w:p>
        </w:tc>
      </w:tr>
      <w:tr w:rsidR="00E4366B" w:rsidTr="00C173FD">
        <w:tc>
          <w:tcPr>
            <w:tcW w:w="664" w:type="dxa"/>
          </w:tcPr>
          <w:p w:rsidR="00E4366B" w:rsidRPr="00AF4487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4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13" w:type="dxa"/>
          </w:tcPr>
          <w:p w:rsidR="00E4366B" w:rsidRPr="00AF4487" w:rsidRDefault="00E4366B" w:rsidP="00C173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4487">
              <w:rPr>
                <w:rFonts w:ascii="Arial" w:hAnsi="Arial" w:cs="Arial"/>
                <w:sz w:val="20"/>
                <w:szCs w:val="20"/>
              </w:rPr>
              <w:t>Plan achieved for key control reviews</w:t>
            </w:r>
          </w:p>
        </w:tc>
        <w:tc>
          <w:tcPr>
            <w:tcW w:w="993" w:type="dxa"/>
          </w:tcPr>
          <w:p w:rsidR="00E4366B" w:rsidRPr="00AF4487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487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E4366B" w:rsidRPr="00593142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42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3344" w:type="dxa"/>
          </w:tcPr>
          <w:p w:rsidR="00E4366B" w:rsidRPr="00593142" w:rsidRDefault="00E4366B" w:rsidP="001276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142">
              <w:rPr>
                <w:rFonts w:ascii="Arial" w:hAnsi="Arial" w:cs="Arial"/>
                <w:b/>
                <w:sz w:val="20"/>
                <w:szCs w:val="20"/>
              </w:rPr>
              <w:t>Met</w:t>
            </w:r>
          </w:p>
          <w:p w:rsidR="00E4366B" w:rsidRPr="00593142" w:rsidRDefault="00E4366B" w:rsidP="001276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142">
              <w:rPr>
                <w:rFonts w:ascii="Arial" w:hAnsi="Arial" w:cs="Arial"/>
                <w:sz w:val="20"/>
                <w:szCs w:val="20"/>
              </w:rPr>
              <w:t>2 full reviews and 7 evidence based self- assessments undertaken</w:t>
            </w:r>
          </w:p>
        </w:tc>
      </w:tr>
      <w:tr w:rsidR="00E4366B" w:rsidTr="00C173FD">
        <w:tc>
          <w:tcPr>
            <w:tcW w:w="664" w:type="dxa"/>
          </w:tcPr>
          <w:p w:rsidR="00E4366B" w:rsidRPr="00AF4487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4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13" w:type="dxa"/>
          </w:tcPr>
          <w:p w:rsidR="00E4366B" w:rsidRPr="00AF4487" w:rsidRDefault="00E4366B" w:rsidP="00C173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4487">
              <w:rPr>
                <w:rFonts w:ascii="Arial" w:hAnsi="Arial" w:cs="Arial"/>
                <w:sz w:val="20"/>
                <w:szCs w:val="20"/>
              </w:rPr>
              <w:t>Plan achieved overall (key indicator)</w:t>
            </w:r>
          </w:p>
        </w:tc>
        <w:tc>
          <w:tcPr>
            <w:tcW w:w="993" w:type="dxa"/>
          </w:tcPr>
          <w:p w:rsidR="00E4366B" w:rsidRPr="00AF4487" w:rsidRDefault="00DA3B37" w:rsidP="00DA3B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E4366B" w:rsidRPr="00AF4487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E4366B" w:rsidRPr="00593142" w:rsidRDefault="00E4366B" w:rsidP="005452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4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F5CAC" w:rsidRPr="0059314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93142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344" w:type="dxa"/>
          </w:tcPr>
          <w:p w:rsidR="00E4366B" w:rsidRPr="00593142" w:rsidRDefault="003069CF" w:rsidP="001276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142">
              <w:rPr>
                <w:rFonts w:ascii="Arial" w:hAnsi="Arial" w:cs="Arial"/>
                <w:b/>
                <w:sz w:val="20"/>
                <w:szCs w:val="20"/>
              </w:rPr>
              <w:t>Substaintially</w:t>
            </w:r>
            <w:r w:rsidR="00DC6470" w:rsidRPr="00593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366B" w:rsidRPr="00593142">
              <w:rPr>
                <w:rFonts w:ascii="Arial" w:hAnsi="Arial" w:cs="Arial"/>
                <w:b/>
                <w:sz w:val="20"/>
                <w:szCs w:val="20"/>
              </w:rPr>
              <w:t>Met</w:t>
            </w:r>
          </w:p>
          <w:p w:rsidR="00E4366B" w:rsidRPr="00593142" w:rsidRDefault="005F5CAC" w:rsidP="001276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142">
              <w:rPr>
                <w:rFonts w:ascii="Arial" w:hAnsi="Arial" w:cs="Arial"/>
                <w:sz w:val="20"/>
                <w:szCs w:val="20"/>
              </w:rPr>
              <w:t>27</w:t>
            </w:r>
            <w:r w:rsidR="00545298" w:rsidRPr="00593142">
              <w:rPr>
                <w:rFonts w:ascii="Arial" w:hAnsi="Arial" w:cs="Arial"/>
                <w:sz w:val="20"/>
                <w:szCs w:val="20"/>
              </w:rPr>
              <w:t xml:space="preserve"> out of 61</w:t>
            </w:r>
            <w:r w:rsidR="00DC6470" w:rsidRPr="00593142">
              <w:rPr>
                <w:rFonts w:ascii="Arial" w:hAnsi="Arial" w:cs="Arial"/>
                <w:sz w:val="20"/>
                <w:szCs w:val="20"/>
              </w:rPr>
              <w:t xml:space="preserve"> projects </w:t>
            </w:r>
            <w:r w:rsidR="00545298" w:rsidRPr="00593142">
              <w:rPr>
                <w:rFonts w:ascii="Arial" w:hAnsi="Arial" w:cs="Arial"/>
                <w:sz w:val="20"/>
                <w:szCs w:val="20"/>
              </w:rPr>
              <w:t>complete</w:t>
            </w:r>
            <w:r w:rsidRPr="00593142">
              <w:rPr>
                <w:rFonts w:ascii="Arial" w:hAnsi="Arial" w:cs="Arial"/>
                <w:sz w:val="20"/>
                <w:szCs w:val="20"/>
              </w:rPr>
              <w:t xml:space="preserve"> to end of Q2</w:t>
            </w:r>
            <w:r w:rsidR="00E4366B" w:rsidRPr="005931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66B" w:rsidRPr="00593142" w:rsidRDefault="00E4366B" w:rsidP="001276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66B" w:rsidTr="00FB2832">
        <w:tc>
          <w:tcPr>
            <w:tcW w:w="664" w:type="dxa"/>
            <w:shd w:val="clear" w:color="auto" w:fill="17365D" w:themeFill="text2" w:themeFillShade="BF"/>
          </w:tcPr>
          <w:p w:rsidR="00E4366B" w:rsidRPr="007B0E1E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17365D" w:themeFill="text2" w:themeFillShade="BF"/>
            <w:vAlign w:val="bottom"/>
          </w:tcPr>
          <w:p w:rsidR="00E4366B" w:rsidRDefault="00E4366B" w:rsidP="00CD5E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Corporate </w:t>
            </w:r>
          </w:p>
          <w:p w:rsidR="00E4366B" w:rsidRPr="00B955EC" w:rsidRDefault="00E4366B" w:rsidP="00CD5EE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Indicator</w:t>
            </w:r>
          </w:p>
        </w:tc>
        <w:tc>
          <w:tcPr>
            <w:tcW w:w="993" w:type="dxa"/>
            <w:shd w:val="clear" w:color="auto" w:fill="17365D" w:themeFill="text2" w:themeFillShade="BF"/>
          </w:tcPr>
          <w:p w:rsidR="00E4366B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17365D" w:themeFill="text2" w:themeFillShade="BF"/>
          </w:tcPr>
          <w:p w:rsidR="00E4366B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17365D" w:themeFill="text2" w:themeFillShade="BF"/>
          </w:tcPr>
          <w:p w:rsidR="00E4366B" w:rsidRDefault="00E4366B" w:rsidP="001276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66B" w:rsidTr="00FB2832">
        <w:tc>
          <w:tcPr>
            <w:tcW w:w="664" w:type="dxa"/>
          </w:tcPr>
          <w:p w:rsidR="00E4366B" w:rsidRPr="00AF4487" w:rsidRDefault="00E4366B" w:rsidP="00E43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3" w:type="dxa"/>
          </w:tcPr>
          <w:p w:rsidR="00E4366B" w:rsidRPr="00AF4487" w:rsidRDefault="00E4366B" w:rsidP="00FB28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4487">
              <w:rPr>
                <w:rFonts w:ascii="Arial" w:hAnsi="Arial" w:cs="Arial"/>
                <w:sz w:val="20"/>
                <w:szCs w:val="20"/>
              </w:rPr>
              <w:t>Implementation of recommendations</w:t>
            </w:r>
          </w:p>
        </w:tc>
        <w:tc>
          <w:tcPr>
            <w:tcW w:w="993" w:type="dxa"/>
          </w:tcPr>
          <w:p w:rsidR="00E4366B" w:rsidRPr="00AF4487" w:rsidRDefault="00E4366B" w:rsidP="007B0E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487">
              <w:rPr>
                <w:rFonts w:ascii="Arial" w:hAnsi="Arial" w:cs="Arial"/>
                <w:b/>
                <w:sz w:val="20"/>
                <w:szCs w:val="20"/>
              </w:rPr>
              <w:t>90%</w:t>
            </w:r>
          </w:p>
        </w:tc>
        <w:tc>
          <w:tcPr>
            <w:tcW w:w="1134" w:type="dxa"/>
          </w:tcPr>
          <w:p w:rsidR="007226D6" w:rsidRPr="00593142" w:rsidRDefault="00FD54FA" w:rsidP="007226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42">
              <w:rPr>
                <w:rFonts w:ascii="Arial" w:hAnsi="Arial" w:cs="Arial"/>
                <w:b/>
                <w:sz w:val="20"/>
                <w:szCs w:val="20"/>
              </w:rPr>
              <w:t xml:space="preserve"> 62</w:t>
            </w:r>
            <w:r w:rsidR="007226D6" w:rsidRPr="00593142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7226D6" w:rsidRPr="00593142" w:rsidRDefault="007E1F76" w:rsidP="007226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142">
              <w:rPr>
                <w:rFonts w:ascii="Arial" w:hAnsi="Arial" w:cs="Arial"/>
                <w:b/>
                <w:sz w:val="20"/>
                <w:szCs w:val="20"/>
              </w:rPr>
              <w:t>(100</w:t>
            </w:r>
            <w:r w:rsidR="007226D6" w:rsidRPr="00593142">
              <w:rPr>
                <w:rFonts w:ascii="Arial" w:hAnsi="Arial" w:cs="Arial"/>
                <w:b/>
                <w:sz w:val="20"/>
                <w:szCs w:val="20"/>
              </w:rPr>
              <w:t>% in due course)</w:t>
            </w:r>
          </w:p>
        </w:tc>
        <w:tc>
          <w:tcPr>
            <w:tcW w:w="3344" w:type="dxa"/>
          </w:tcPr>
          <w:p w:rsidR="00E4366B" w:rsidRPr="00593142" w:rsidRDefault="00E4366B" w:rsidP="001276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142">
              <w:rPr>
                <w:rFonts w:ascii="Arial" w:hAnsi="Arial" w:cs="Arial"/>
                <w:b/>
                <w:sz w:val="20"/>
                <w:szCs w:val="20"/>
              </w:rPr>
              <w:t>Exceeded (in due course)</w:t>
            </w:r>
          </w:p>
          <w:p w:rsidR="00E4366B" w:rsidRPr="00593142" w:rsidRDefault="00FD54FA" w:rsidP="00371F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142">
              <w:rPr>
                <w:rFonts w:ascii="Arial" w:hAnsi="Arial" w:cs="Arial"/>
                <w:sz w:val="20"/>
                <w:szCs w:val="20"/>
              </w:rPr>
              <w:t>62</w:t>
            </w:r>
            <w:r w:rsidR="00E4366B" w:rsidRPr="00593142">
              <w:rPr>
                <w:rFonts w:ascii="Arial" w:hAnsi="Arial" w:cs="Arial"/>
                <w:sz w:val="20"/>
                <w:szCs w:val="20"/>
              </w:rPr>
              <w:t>% of recommendations were implement</w:t>
            </w:r>
            <w:r w:rsidR="00BD3A0A" w:rsidRPr="00593142">
              <w:rPr>
                <w:rFonts w:ascii="Arial" w:hAnsi="Arial" w:cs="Arial"/>
                <w:sz w:val="20"/>
                <w:szCs w:val="20"/>
              </w:rPr>
              <w:t>ed/substantially impleme</w:t>
            </w:r>
            <w:r w:rsidRPr="00593142">
              <w:rPr>
                <w:rFonts w:ascii="Arial" w:hAnsi="Arial" w:cs="Arial"/>
                <w:sz w:val="20"/>
                <w:szCs w:val="20"/>
              </w:rPr>
              <w:t>nted, 20% were in progress and 18</w:t>
            </w:r>
            <w:r w:rsidR="00E4366B" w:rsidRPr="00593142">
              <w:rPr>
                <w:rFonts w:ascii="Arial" w:hAnsi="Arial" w:cs="Arial"/>
                <w:sz w:val="20"/>
                <w:szCs w:val="20"/>
              </w:rPr>
              <w:t>% were planned at time of follow-up thus it is expected that in d</w:t>
            </w:r>
            <w:r w:rsidR="00BD3A0A" w:rsidRPr="00593142">
              <w:rPr>
                <w:rFonts w:ascii="Arial" w:hAnsi="Arial" w:cs="Arial"/>
                <w:sz w:val="20"/>
                <w:szCs w:val="20"/>
              </w:rPr>
              <w:t xml:space="preserve">ue course </w:t>
            </w:r>
            <w:r w:rsidR="00371F94" w:rsidRPr="00593142">
              <w:rPr>
                <w:rFonts w:ascii="Arial" w:hAnsi="Arial" w:cs="Arial"/>
                <w:sz w:val="20"/>
                <w:szCs w:val="20"/>
              </w:rPr>
              <w:t>100</w:t>
            </w:r>
            <w:r w:rsidR="00E4366B" w:rsidRPr="00593142">
              <w:rPr>
                <w:rFonts w:ascii="Arial" w:hAnsi="Arial" w:cs="Arial"/>
                <w:sz w:val="20"/>
                <w:szCs w:val="20"/>
              </w:rPr>
              <w:t>% will be implemented.</w:t>
            </w:r>
          </w:p>
        </w:tc>
      </w:tr>
    </w:tbl>
    <w:p w:rsidR="00097937" w:rsidRDefault="00097937" w:rsidP="001276EA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3A35" w:rsidRDefault="00E43A35" w:rsidP="001276EA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3A35" w:rsidRDefault="00097937" w:rsidP="001276EA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73FD">
        <w:rPr>
          <w:rFonts w:ascii="Arial" w:hAnsi="Arial" w:cs="Arial"/>
          <w:b/>
          <w:sz w:val="24"/>
          <w:szCs w:val="24"/>
        </w:rPr>
        <w:t>Summary</w:t>
      </w:r>
    </w:p>
    <w:p w:rsidR="00E43A35" w:rsidRDefault="00E43A35" w:rsidP="001276EA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2404" w:rsidRDefault="00E43A35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E43A35">
        <w:rPr>
          <w:rFonts w:ascii="Arial" w:hAnsi="Arial" w:cs="Arial"/>
          <w:sz w:val="24"/>
          <w:szCs w:val="24"/>
        </w:rPr>
        <w:t xml:space="preserve">Of the 4 </w:t>
      </w:r>
      <w:r>
        <w:rPr>
          <w:rFonts w:ascii="Arial" w:hAnsi="Arial" w:cs="Arial"/>
          <w:sz w:val="24"/>
          <w:szCs w:val="24"/>
        </w:rPr>
        <w:t xml:space="preserve">internal audit performance indicators 1 was exceeded, 2 were met and 1 was </w:t>
      </w:r>
      <w:r w:rsidR="00371F94">
        <w:rPr>
          <w:rFonts w:ascii="Arial" w:hAnsi="Arial" w:cs="Arial"/>
          <w:sz w:val="24"/>
          <w:szCs w:val="24"/>
        </w:rPr>
        <w:t xml:space="preserve">substantially </w:t>
      </w:r>
      <w:r>
        <w:rPr>
          <w:rFonts w:ascii="Arial" w:hAnsi="Arial" w:cs="Arial"/>
          <w:sz w:val="24"/>
          <w:szCs w:val="24"/>
        </w:rPr>
        <w:t xml:space="preserve">met.  </w:t>
      </w:r>
    </w:p>
    <w:p w:rsidR="007226D6" w:rsidRDefault="007226D6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7226D6" w:rsidRDefault="007226D6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7226D6" w:rsidRDefault="007226D6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7226D6" w:rsidRDefault="007226D6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7226D6" w:rsidRDefault="007226D6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7226D6" w:rsidRDefault="007226D6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7226D6" w:rsidRDefault="007226D6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7226D6" w:rsidRDefault="007226D6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7226D6" w:rsidRDefault="007226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226D6" w:rsidRPr="001276EA" w:rsidRDefault="007226D6" w:rsidP="007226D6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E2404" w:rsidRPr="00BE2404" w:rsidRDefault="00BE2404" w:rsidP="00BE2404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488C" w:rsidRDefault="0014488C" w:rsidP="008F417D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6157">
        <w:rPr>
          <w:rFonts w:ascii="Arial" w:hAnsi="Arial" w:cs="Arial"/>
          <w:sz w:val="40"/>
          <w:szCs w:val="40"/>
          <w:shd w:val="clear" w:color="auto" w:fill="17365D" w:themeFill="text2" w:themeFillShade="BF"/>
        </w:rPr>
        <w:t>Audit Report Assurance Levels</w:t>
      </w:r>
      <w:r w:rsidRPr="008F417D">
        <w:rPr>
          <w:rFonts w:ascii="Arial" w:hAnsi="Arial" w:cs="Arial"/>
          <w:b/>
          <w:sz w:val="40"/>
          <w:szCs w:val="40"/>
          <w:shd w:val="clear" w:color="auto" w:fill="17365D" w:themeFill="text2" w:themeFillShade="BF"/>
        </w:rPr>
        <w:t xml:space="preserve">                            </w:t>
      </w:r>
      <w:r w:rsidR="00A04B79">
        <w:rPr>
          <w:rFonts w:ascii="Arial" w:hAnsi="Arial" w:cs="Arial"/>
          <w:b/>
          <w:sz w:val="40"/>
          <w:szCs w:val="40"/>
          <w:shd w:val="clear" w:color="auto" w:fill="17365D" w:themeFill="text2" w:themeFillShade="BF"/>
        </w:rPr>
        <w:t xml:space="preserve">    </w:t>
      </w:r>
      <w:r w:rsidRPr="008F417D">
        <w:rPr>
          <w:rFonts w:ascii="Arial" w:hAnsi="Arial" w:cs="Arial"/>
          <w:b/>
          <w:sz w:val="24"/>
          <w:szCs w:val="24"/>
          <w:shd w:val="clear" w:color="auto" w:fill="17365D" w:themeFill="text2" w:themeFillShade="BF"/>
        </w:rPr>
        <w:t>Appendix</w:t>
      </w:r>
      <w:r w:rsidR="00A04B79">
        <w:rPr>
          <w:rFonts w:ascii="Arial" w:hAnsi="Arial" w:cs="Arial"/>
          <w:b/>
          <w:sz w:val="24"/>
          <w:szCs w:val="24"/>
          <w:shd w:val="clear" w:color="auto" w:fill="17365D" w:themeFill="text2" w:themeFillShade="BF"/>
        </w:rPr>
        <w:t xml:space="preserve"> </w:t>
      </w:r>
      <w:r w:rsidR="007226D6">
        <w:rPr>
          <w:rFonts w:ascii="Arial" w:hAnsi="Arial" w:cs="Arial"/>
          <w:b/>
          <w:sz w:val="24"/>
          <w:szCs w:val="24"/>
          <w:shd w:val="clear" w:color="auto" w:fill="17365D" w:themeFill="text2" w:themeFillShade="BF"/>
        </w:rPr>
        <w:t>1</w:t>
      </w:r>
      <w:r w:rsidR="00A04B79">
        <w:rPr>
          <w:rFonts w:ascii="Arial" w:hAnsi="Arial" w:cs="Arial"/>
          <w:b/>
          <w:sz w:val="24"/>
          <w:szCs w:val="24"/>
          <w:shd w:val="clear" w:color="auto" w:fill="17365D" w:themeFill="text2" w:themeFillShade="BF"/>
        </w:rPr>
        <w:t xml:space="preserve"> </w:t>
      </w:r>
      <w:r w:rsidRPr="008F417D">
        <w:rPr>
          <w:rFonts w:ascii="Arial" w:hAnsi="Arial" w:cs="Arial"/>
          <w:b/>
          <w:sz w:val="24"/>
          <w:szCs w:val="24"/>
          <w:shd w:val="clear" w:color="auto" w:fill="17365D" w:themeFill="text2" w:themeFillShade="BF"/>
        </w:rPr>
        <w:t xml:space="preserve"> </w:t>
      </w:r>
    </w:p>
    <w:p w:rsidR="0014488C" w:rsidRDefault="0014488C" w:rsidP="0014488C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488C" w:rsidRDefault="0014488C" w:rsidP="0014488C">
      <w:pPr>
        <w:pStyle w:val="BodyText"/>
        <w:ind w:left="240"/>
        <w:jc w:val="both"/>
        <w:rPr>
          <w:b w:val="0"/>
          <w:bCs/>
        </w:rPr>
      </w:pPr>
      <w:r>
        <w:rPr>
          <w:b w:val="0"/>
          <w:bCs/>
        </w:rPr>
        <w:t xml:space="preserve">Internal audit reports are given a </w:t>
      </w:r>
      <w:r>
        <w:rPr>
          <w:b w:val="0"/>
          <w:bCs/>
          <w:color w:val="FF0000"/>
        </w:rPr>
        <w:t>red</w:t>
      </w:r>
      <w:r>
        <w:rPr>
          <w:b w:val="0"/>
          <w:bCs/>
        </w:rPr>
        <w:t xml:space="preserve">, </w:t>
      </w:r>
      <w:r>
        <w:rPr>
          <w:b w:val="0"/>
          <w:bCs/>
          <w:color w:val="FF0000"/>
        </w:rPr>
        <w:t>red/</w:t>
      </w:r>
      <w:r>
        <w:rPr>
          <w:b w:val="0"/>
          <w:bCs/>
          <w:color w:val="FF6600"/>
        </w:rPr>
        <w:t>amber, amber, amber/</w:t>
      </w:r>
      <w:r>
        <w:rPr>
          <w:b w:val="0"/>
          <w:bCs/>
          <w:color w:val="008000"/>
        </w:rPr>
        <w:t>green</w:t>
      </w:r>
      <w:r>
        <w:rPr>
          <w:b w:val="0"/>
          <w:bCs/>
        </w:rPr>
        <w:t xml:space="preserve"> or </w:t>
      </w:r>
      <w:r>
        <w:rPr>
          <w:b w:val="0"/>
          <w:bCs/>
          <w:color w:val="008000"/>
        </w:rPr>
        <w:t>green</w:t>
      </w:r>
      <w:r>
        <w:rPr>
          <w:b w:val="0"/>
          <w:bCs/>
        </w:rPr>
        <w:t xml:space="preserve"> assurance rating. </w:t>
      </w:r>
    </w:p>
    <w:p w:rsidR="0014488C" w:rsidRDefault="0014488C" w:rsidP="0014488C">
      <w:pPr>
        <w:pStyle w:val="BodyText"/>
        <w:ind w:left="600"/>
        <w:jc w:val="both"/>
        <w:rPr>
          <w:b w:val="0"/>
          <w:bCs/>
        </w:rPr>
      </w:pPr>
    </w:p>
    <w:p w:rsidR="0014488C" w:rsidRPr="003554E5" w:rsidRDefault="0014488C" w:rsidP="0014488C">
      <w:pPr>
        <w:pStyle w:val="BodyText"/>
        <w:ind w:left="1260"/>
        <w:jc w:val="both"/>
        <w:rPr>
          <w:b w:val="0"/>
          <w:bCs/>
        </w:rPr>
      </w:pPr>
      <w:r>
        <w:rPr>
          <w:b w:val="0"/>
          <w:bCs/>
          <w:color w:val="FF0000"/>
        </w:rPr>
        <w:t xml:space="preserve">Red </w:t>
      </w:r>
      <w:r w:rsidRPr="003554E5">
        <w:rPr>
          <w:b w:val="0"/>
          <w:color w:val="000000"/>
        </w:rPr>
        <w:t>reports will indicate systems/functions/establishments with a low overall percentage of controls in place that represent a high risk to the authority needing immediate attention to improve the control environment;</w:t>
      </w:r>
    </w:p>
    <w:p w:rsidR="0014488C" w:rsidRPr="003922F8" w:rsidRDefault="0014488C" w:rsidP="0014488C">
      <w:pPr>
        <w:pStyle w:val="BodyText"/>
        <w:jc w:val="both"/>
        <w:rPr>
          <w:b w:val="0"/>
          <w:bCs/>
        </w:rPr>
      </w:pPr>
    </w:p>
    <w:p w:rsidR="0014488C" w:rsidRPr="003554E5" w:rsidRDefault="0014488C" w:rsidP="0014488C">
      <w:pPr>
        <w:pStyle w:val="BodyText"/>
        <w:ind w:left="1260"/>
        <w:jc w:val="both"/>
        <w:rPr>
          <w:b w:val="0"/>
          <w:bCs/>
        </w:rPr>
      </w:pPr>
      <w:r>
        <w:rPr>
          <w:b w:val="0"/>
          <w:bCs/>
          <w:color w:val="FF0000"/>
        </w:rPr>
        <w:t>Red/</w:t>
      </w:r>
      <w:r>
        <w:rPr>
          <w:b w:val="0"/>
          <w:bCs/>
          <w:color w:val="FF6600"/>
        </w:rPr>
        <w:t xml:space="preserve">amber </w:t>
      </w:r>
      <w:r w:rsidRPr="003554E5">
        <w:rPr>
          <w:b w:val="0"/>
        </w:rPr>
        <w:t>reports will indicate systems/functions/establishments that represent a high to medium risk to the authority needing immediate attention to improve the control environment;</w:t>
      </w:r>
    </w:p>
    <w:p w:rsidR="0014488C" w:rsidRPr="003922F8" w:rsidRDefault="0014488C" w:rsidP="0014488C">
      <w:pPr>
        <w:pStyle w:val="BodyText"/>
        <w:jc w:val="both"/>
        <w:rPr>
          <w:b w:val="0"/>
          <w:bCs/>
        </w:rPr>
      </w:pPr>
    </w:p>
    <w:p w:rsidR="0014488C" w:rsidRDefault="0014488C" w:rsidP="0014488C">
      <w:pPr>
        <w:pStyle w:val="BodyText"/>
        <w:ind w:left="1260"/>
        <w:jc w:val="both"/>
        <w:rPr>
          <w:b w:val="0"/>
          <w:color w:val="000000"/>
        </w:rPr>
      </w:pPr>
      <w:r>
        <w:rPr>
          <w:b w:val="0"/>
          <w:bCs/>
          <w:color w:val="FF6600"/>
        </w:rPr>
        <w:t xml:space="preserve">Amber </w:t>
      </w:r>
      <w:r w:rsidRPr="00AD5C2F">
        <w:rPr>
          <w:b w:val="0"/>
          <w:bCs/>
        </w:rPr>
        <w:t>reports</w:t>
      </w:r>
      <w:r w:rsidRPr="003554E5">
        <w:rPr>
          <w:b w:val="0"/>
          <w:color w:val="000000"/>
        </w:rPr>
        <w:t xml:space="preserve"> will indicate a fair level of controls operating that represent a medium risk in need of attention to prevent them becoming high risk</w:t>
      </w:r>
      <w:r>
        <w:rPr>
          <w:b w:val="0"/>
          <w:color w:val="000000"/>
        </w:rPr>
        <w:t>;</w:t>
      </w:r>
    </w:p>
    <w:p w:rsidR="0014488C" w:rsidRDefault="0014488C" w:rsidP="0014488C">
      <w:pPr>
        <w:pStyle w:val="BodyText"/>
        <w:jc w:val="both"/>
        <w:rPr>
          <w:b w:val="0"/>
          <w:bCs/>
          <w:color w:val="FF6600"/>
        </w:rPr>
      </w:pPr>
      <w:r>
        <w:rPr>
          <w:b w:val="0"/>
          <w:bCs/>
          <w:color w:val="FF6600"/>
        </w:rPr>
        <w:t xml:space="preserve"> </w:t>
      </w:r>
    </w:p>
    <w:p w:rsidR="0014488C" w:rsidRDefault="0014488C" w:rsidP="0014488C">
      <w:pPr>
        <w:pStyle w:val="BodyText"/>
        <w:ind w:left="1260"/>
        <w:jc w:val="both"/>
        <w:rPr>
          <w:b w:val="0"/>
          <w:bCs/>
        </w:rPr>
      </w:pPr>
      <w:r>
        <w:rPr>
          <w:b w:val="0"/>
          <w:bCs/>
          <w:color w:val="FF6600"/>
        </w:rPr>
        <w:t>Amber/</w:t>
      </w:r>
      <w:r>
        <w:rPr>
          <w:b w:val="0"/>
          <w:bCs/>
          <w:color w:val="008000"/>
        </w:rPr>
        <w:t xml:space="preserve">green </w:t>
      </w:r>
      <w:r w:rsidRPr="003554E5">
        <w:rPr>
          <w:b w:val="0"/>
        </w:rPr>
        <w:t>reports will indicate medium to low risk in need of attention to prevent them becoming high risk and</w:t>
      </w:r>
    </w:p>
    <w:p w:rsidR="0014488C" w:rsidRDefault="0014488C" w:rsidP="0014488C">
      <w:pPr>
        <w:pStyle w:val="BodyText"/>
        <w:jc w:val="both"/>
        <w:rPr>
          <w:b w:val="0"/>
          <w:bCs/>
          <w:color w:val="008000"/>
        </w:rPr>
      </w:pPr>
    </w:p>
    <w:p w:rsidR="0014488C" w:rsidRDefault="0014488C" w:rsidP="0014488C">
      <w:pPr>
        <w:pStyle w:val="BodyText"/>
        <w:ind w:left="1260"/>
        <w:jc w:val="both"/>
        <w:rPr>
          <w:b w:val="0"/>
          <w:bCs/>
        </w:rPr>
      </w:pPr>
      <w:r>
        <w:rPr>
          <w:b w:val="0"/>
          <w:bCs/>
          <w:color w:val="008000"/>
        </w:rPr>
        <w:t xml:space="preserve">Green </w:t>
      </w:r>
      <w:r w:rsidRPr="003554E5">
        <w:rPr>
          <w:b w:val="0"/>
          <w:color w:val="000000"/>
        </w:rPr>
        <w:t xml:space="preserve">reports will indicate a high level of controls operating, including all critical </w:t>
      </w:r>
      <w:proofErr w:type="gramStart"/>
      <w:r w:rsidRPr="003554E5">
        <w:rPr>
          <w:b w:val="0"/>
          <w:color w:val="000000"/>
        </w:rPr>
        <w:t>controls, that</w:t>
      </w:r>
      <w:proofErr w:type="gramEnd"/>
      <w:r w:rsidRPr="003554E5">
        <w:rPr>
          <w:b w:val="0"/>
          <w:color w:val="000000"/>
        </w:rPr>
        <w:t xml:space="preserve"> represent low risk areas</w:t>
      </w:r>
    </w:p>
    <w:p w:rsidR="0014488C" w:rsidRDefault="0014488C" w:rsidP="0014488C">
      <w:pPr>
        <w:pStyle w:val="BodyText"/>
        <w:jc w:val="both"/>
        <w:rPr>
          <w:b w:val="0"/>
          <w:bCs/>
        </w:rPr>
      </w:pPr>
    </w:p>
    <w:p w:rsidR="0014488C" w:rsidRDefault="0014488C" w:rsidP="0014488C">
      <w:pPr>
        <w:pStyle w:val="BodyText"/>
        <w:ind w:left="240"/>
        <w:jc w:val="both"/>
        <w:rPr>
          <w:b w:val="0"/>
          <w:bCs/>
        </w:rPr>
      </w:pPr>
      <w:r>
        <w:rPr>
          <w:b w:val="0"/>
          <w:bCs/>
        </w:rPr>
        <w:t xml:space="preserve">A formula for converting audit findings into a </w:t>
      </w:r>
      <w:r>
        <w:rPr>
          <w:b w:val="0"/>
          <w:bCs/>
          <w:color w:val="FF0000"/>
        </w:rPr>
        <w:t>red</w:t>
      </w:r>
      <w:r>
        <w:rPr>
          <w:b w:val="0"/>
          <w:bCs/>
        </w:rPr>
        <w:t xml:space="preserve">, </w:t>
      </w:r>
      <w:r>
        <w:rPr>
          <w:b w:val="0"/>
          <w:bCs/>
          <w:color w:val="FF0000"/>
        </w:rPr>
        <w:t>red/</w:t>
      </w:r>
      <w:r>
        <w:rPr>
          <w:b w:val="0"/>
          <w:bCs/>
          <w:color w:val="FF6600"/>
        </w:rPr>
        <w:t>amber, amber, amber/</w:t>
      </w:r>
      <w:r>
        <w:rPr>
          <w:b w:val="0"/>
          <w:bCs/>
          <w:color w:val="008000"/>
        </w:rPr>
        <w:t>green</w:t>
      </w:r>
      <w:r>
        <w:rPr>
          <w:b w:val="0"/>
          <w:bCs/>
        </w:rPr>
        <w:t xml:space="preserve"> or </w:t>
      </w:r>
      <w:r>
        <w:rPr>
          <w:b w:val="0"/>
          <w:bCs/>
          <w:color w:val="008000"/>
        </w:rPr>
        <w:t>green</w:t>
      </w:r>
      <w:r>
        <w:rPr>
          <w:b w:val="0"/>
          <w:bCs/>
        </w:rPr>
        <w:t xml:space="preserve"> rating has been developed as follows:</w:t>
      </w:r>
    </w:p>
    <w:p w:rsidR="0014488C" w:rsidRDefault="0014488C" w:rsidP="0014488C">
      <w:pPr>
        <w:pStyle w:val="BodyText"/>
        <w:ind w:left="540"/>
        <w:jc w:val="both"/>
        <w:rPr>
          <w:b w:val="0"/>
          <w:bCs/>
        </w:rPr>
      </w:pPr>
    </w:p>
    <w:p w:rsidR="0014488C" w:rsidRDefault="0014488C" w:rsidP="0014488C">
      <w:pPr>
        <w:pStyle w:val="BodyText"/>
        <w:ind w:left="960" w:firstLine="300"/>
        <w:jc w:val="both"/>
        <w:rPr>
          <w:b w:val="0"/>
          <w:bCs/>
        </w:rPr>
      </w:pPr>
      <w:r>
        <w:rPr>
          <w:b w:val="0"/>
          <w:bCs/>
          <w:color w:val="FF0000"/>
        </w:rPr>
        <w:t xml:space="preserve">Red </w:t>
      </w:r>
      <w:r>
        <w:rPr>
          <w:b w:val="0"/>
          <w:bCs/>
          <w:color w:val="000000"/>
        </w:rPr>
        <w:t>reports</w:t>
      </w:r>
      <w:r>
        <w:rPr>
          <w:b w:val="0"/>
          <w:bCs/>
        </w:rPr>
        <w:t xml:space="preserve"> will essentially be those where there is </w:t>
      </w:r>
      <w:r w:rsidRPr="0014488C">
        <w:rPr>
          <w:bCs/>
        </w:rPr>
        <w:t>one or more</w:t>
      </w:r>
      <w:r>
        <w:rPr>
          <w:b w:val="0"/>
          <w:bCs/>
        </w:rPr>
        <w:t xml:space="preserve"> of the following:</w:t>
      </w:r>
    </w:p>
    <w:p w:rsidR="0014488C" w:rsidRDefault="0014488C" w:rsidP="0014488C">
      <w:pPr>
        <w:pStyle w:val="BodyText"/>
        <w:ind w:left="540"/>
        <w:jc w:val="both"/>
        <w:rPr>
          <w:b w:val="0"/>
          <w:bCs/>
        </w:rPr>
      </w:pPr>
    </w:p>
    <w:p w:rsidR="0014488C" w:rsidRDefault="0014488C" w:rsidP="0014488C">
      <w:pPr>
        <w:pStyle w:val="BodyText"/>
        <w:numPr>
          <w:ilvl w:val="0"/>
          <w:numId w:val="11"/>
        </w:numPr>
        <w:tabs>
          <w:tab w:val="clear" w:pos="1620"/>
          <w:tab w:val="num" w:pos="1800"/>
        </w:tabs>
        <w:ind w:left="1200" w:firstLine="120"/>
        <w:jc w:val="both"/>
        <w:rPr>
          <w:b w:val="0"/>
          <w:bCs/>
        </w:rPr>
      </w:pPr>
      <w:r>
        <w:rPr>
          <w:b w:val="0"/>
          <w:bCs/>
        </w:rPr>
        <w:t>A low overall percentage of controls in place (0-50%)</w:t>
      </w:r>
    </w:p>
    <w:p w:rsidR="0014488C" w:rsidRDefault="0014488C" w:rsidP="0014488C">
      <w:pPr>
        <w:pStyle w:val="BodyText"/>
        <w:numPr>
          <w:ilvl w:val="0"/>
          <w:numId w:val="11"/>
        </w:numPr>
        <w:tabs>
          <w:tab w:val="clear" w:pos="1620"/>
          <w:tab w:val="num" w:pos="1800"/>
        </w:tabs>
        <w:ind w:left="1200" w:firstLine="120"/>
        <w:jc w:val="both"/>
        <w:rPr>
          <w:b w:val="0"/>
          <w:bCs/>
        </w:rPr>
      </w:pPr>
      <w:r>
        <w:rPr>
          <w:b w:val="0"/>
          <w:bCs/>
        </w:rPr>
        <w:t>An absence of critical controls (reflected as high risk recommendations)</w:t>
      </w:r>
    </w:p>
    <w:p w:rsidR="0014488C" w:rsidRDefault="0014488C" w:rsidP="0014488C">
      <w:pPr>
        <w:pStyle w:val="BodyText"/>
        <w:numPr>
          <w:ilvl w:val="0"/>
          <w:numId w:val="11"/>
        </w:numPr>
        <w:tabs>
          <w:tab w:val="clear" w:pos="1620"/>
          <w:tab w:val="num" w:pos="1800"/>
        </w:tabs>
        <w:ind w:left="1200" w:firstLine="120"/>
        <w:jc w:val="both"/>
        <w:rPr>
          <w:b w:val="0"/>
          <w:bCs/>
        </w:rPr>
      </w:pPr>
      <w:r>
        <w:rPr>
          <w:b w:val="0"/>
          <w:bCs/>
        </w:rPr>
        <w:t>A significant deterioration in control systems</w:t>
      </w:r>
    </w:p>
    <w:p w:rsidR="0014488C" w:rsidRDefault="0014488C" w:rsidP="0014488C">
      <w:pPr>
        <w:pStyle w:val="BodyText"/>
        <w:numPr>
          <w:ilvl w:val="0"/>
          <w:numId w:val="11"/>
        </w:numPr>
        <w:tabs>
          <w:tab w:val="clear" w:pos="1620"/>
          <w:tab w:val="num" w:pos="1800"/>
        </w:tabs>
        <w:ind w:left="1200" w:firstLine="120"/>
        <w:jc w:val="both"/>
        <w:rPr>
          <w:b w:val="0"/>
          <w:bCs/>
        </w:rPr>
      </w:pPr>
      <w:r>
        <w:rPr>
          <w:b w:val="0"/>
          <w:bCs/>
        </w:rPr>
        <w:t>Poor progress with implementation of previous recommendations</w:t>
      </w:r>
    </w:p>
    <w:p w:rsidR="0014488C" w:rsidRDefault="0014488C" w:rsidP="0014488C">
      <w:pPr>
        <w:pStyle w:val="BodyText"/>
        <w:ind w:left="540"/>
        <w:jc w:val="both"/>
        <w:rPr>
          <w:b w:val="0"/>
          <w:bCs/>
          <w:color w:val="FF0000"/>
        </w:rPr>
      </w:pPr>
    </w:p>
    <w:p w:rsidR="0014488C" w:rsidRDefault="0014488C" w:rsidP="0014488C">
      <w:pPr>
        <w:pStyle w:val="BodyText"/>
        <w:ind w:left="1200"/>
        <w:jc w:val="both"/>
        <w:rPr>
          <w:b w:val="0"/>
          <w:bCs/>
        </w:rPr>
      </w:pPr>
      <w:r>
        <w:rPr>
          <w:b w:val="0"/>
          <w:bCs/>
          <w:color w:val="FF0000"/>
        </w:rPr>
        <w:t>Red</w:t>
      </w:r>
      <w:r>
        <w:rPr>
          <w:b w:val="0"/>
          <w:bCs/>
          <w:color w:val="000000"/>
        </w:rPr>
        <w:t>/</w:t>
      </w:r>
      <w:r>
        <w:rPr>
          <w:b w:val="0"/>
          <w:bCs/>
          <w:color w:val="FF6600"/>
        </w:rPr>
        <w:t xml:space="preserve">Amber </w:t>
      </w:r>
      <w:r>
        <w:rPr>
          <w:b w:val="0"/>
          <w:bCs/>
        </w:rPr>
        <w:t>reports will be those that have 51-60% of controls operating and no more than 40% of controls absent are critical (40% of recommendations made).</w:t>
      </w:r>
    </w:p>
    <w:p w:rsidR="0014488C" w:rsidRDefault="0014488C" w:rsidP="0014488C">
      <w:pPr>
        <w:pStyle w:val="BodyText"/>
        <w:ind w:left="840"/>
        <w:jc w:val="both"/>
        <w:rPr>
          <w:b w:val="0"/>
          <w:bCs/>
          <w:color w:val="FF6600"/>
        </w:rPr>
      </w:pPr>
    </w:p>
    <w:p w:rsidR="0014488C" w:rsidRDefault="0014488C" w:rsidP="0014488C">
      <w:pPr>
        <w:pStyle w:val="BodyText"/>
        <w:ind w:left="1200"/>
        <w:jc w:val="both"/>
        <w:rPr>
          <w:b w:val="0"/>
          <w:bCs/>
        </w:rPr>
      </w:pPr>
      <w:r>
        <w:rPr>
          <w:b w:val="0"/>
          <w:bCs/>
          <w:color w:val="FF6600"/>
        </w:rPr>
        <w:t xml:space="preserve">Amber </w:t>
      </w:r>
      <w:r>
        <w:rPr>
          <w:b w:val="0"/>
          <w:bCs/>
        </w:rPr>
        <w:t>reports will be those that have 61-70% of controls operating and no more than 25% of controls absent are critical (25% of recommendations made).</w:t>
      </w:r>
    </w:p>
    <w:p w:rsidR="0014488C" w:rsidRDefault="0014488C" w:rsidP="0014488C">
      <w:pPr>
        <w:pStyle w:val="BodyText"/>
        <w:ind w:left="840"/>
        <w:jc w:val="both"/>
        <w:rPr>
          <w:b w:val="0"/>
          <w:bCs/>
        </w:rPr>
      </w:pPr>
    </w:p>
    <w:p w:rsidR="0014488C" w:rsidRDefault="0014488C" w:rsidP="0014488C">
      <w:pPr>
        <w:pStyle w:val="BodyText"/>
        <w:ind w:left="1200"/>
        <w:jc w:val="both"/>
        <w:rPr>
          <w:b w:val="0"/>
          <w:bCs/>
          <w:color w:val="008000"/>
        </w:rPr>
      </w:pPr>
      <w:r>
        <w:rPr>
          <w:b w:val="0"/>
          <w:bCs/>
          <w:color w:val="FF6600"/>
        </w:rPr>
        <w:t>Amber</w:t>
      </w:r>
      <w:r>
        <w:rPr>
          <w:b w:val="0"/>
          <w:bCs/>
        </w:rPr>
        <w:t>/</w:t>
      </w:r>
      <w:r>
        <w:rPr>
          <w:b w:val="0"/>
          <w:bCs/>
          <w:color w:val="008000"/>
        </w:rPr>
        <w:t xml:space="preserve">Green </w:t>
      </w:r>
      <w:r>
        <w:rPr>
          <w:b w:val="0"/>
          <w:bCs/>
        </w:rPr>
        <w:t>reports will be those that have 71-80% of controls operating and no more than 10% of controls absent are critical (10% of recommendations made).</w:t>
      </w:r>
    </w:p>
    <w:p w:rsidR="0014488C" w:rsidRDefault="0014488C" w:rsidP="0014488C">
      <w:pPr>
        <w:pStyle w:val="BodyText"/>
        <w:ind w:left="840"/>
        <w:jc w:val="both"/>
        <w:rPr>
          <w:b w:val="0"/>
          <w:bCs/>
          <w:color w:val="008000"/>
        </w:rPr>
      </w:pPr>
    </w:p>
    <w:p w:rsidR="0014488C" w:rsidRDefault="0014488C" w:rsidP="0014488C">
      <w:pPr>
        <w:pStyle w:val="BodyText"/>
        <w:ind w:left="1200"/>
        <w:jc w:val="both"/>
        <w:rPr>
          <w:b w:val="0"/>
          <w:bCs/>
        </w:rPr>
      </w:pPr>
      <w:r>
        <w:rPr>
          <w:b w:val="0"/>
          <w:bCs/>
          <w:color w:val="008000"/>
        </w:rPr>
        <w:t xml:space="preserve">Green </w:t>
      </w:r>
      <w:r>
        <w:rPr>
          <w:b w:val="0"/>
          <w:bCs/>
        </w:rPr>
        <w:t>reports will be those having 81-100% of controls operating including all critical controls and no absence of critical controls (no high risk recommendations).</w:t>
      </w:r>
    </w:p>
    <w:p w:rsidR="0014488C" w:rsidRDefault="0014488C" w:rsidP="0014488C">
      <w:pPr>
        <w:pStyle w:val="BodyText"/>
        <w:ind w:left="1200"/>
        <w:jc w:val="both"/>
        <w:rPr>
          <w:b w:val="0"/>
          <w:bCs/>
        </w:rPr>
      </w:pPr>
    </w:p>
    <w:p w:rsidR="0014488C" w:rsidRDefault="0014488C" w:rsidP="0014488C">
      <w:pPr>
        <w:pStyle w:val="BodyText"/>
        <w:ind w:left="1200"/>
        <w:jc w:val="both"/>
        <w:rPr>
          <w:b w:val="0"/>
          <w:bCs/>
        </w:rPr>
      </w:pPr>
      <w:r>
        <w:rPr>
          <w:b w:val="0"/>
          <w:bCs/>
        </w:rPr>
        <w:t>Controls operating and substantially operating will be combined to give the overall assurance rating.</w:t>
      </w:r>
    </w:p>
    <w:p w:rsidR="0014488C" w:rsidRDefault="0014488C" w:rsidP="0014488C">
      <w:pPr>
        <w:pStyle w:val="BodyText"/>
        <w:ind w:left="840"/>
        <w:jc w:val="both"/>
        <w:rPr>
          <w:b w:val="0"/>
          <w:bCs/>
        </w:rPr>
      </w:pPr>
    </w:p>
    <w:p w:rsidR="00EC3DD5" w:rsidRDefault="00EC3DD5" w:rsidP="0014488C">
      <w:pPr>
        <w:pStyle w:val="BodyText"/>
        <w:ind w:left="840"/>
        <w:jc w:val="both"/>
        <w:rPr>
          <w:b w:val="0"/>
          <w:bCs/>
        </w:rPr>
      </w:pPr>
    </w:p>
    <w:sectPr w:rsidR="00EC3DD5" w:rsidSect="000F59D4"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42" w:rsidRDefault="00593142" w:rsidP="000F59D4">
      <w:pPr>
        <w:spacing w:after="0" w:line="240" w:lineRule="auto"/>
      </w:pPr>
      <w:r>
        <w:separator/>
      </w:r>
    </w:p>
  </w:endnote>
  <w:endnote w:type="continuationSeparator" w:id="0">
    <w:p w:rsidR="00593142" w:rsidRDefault="00593142" w:rsidP="000F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42" w:rsidRDefault="00593142" w:rsidP="000F59D4">
      <w:pPr>
        <w:spacing w:after="0" w:line="240" w:lineRule="auto"/>
      </w:pPr>
      <w:r>
        <w:separator/>
      </w:r>
    </w:p>
  </w:footnote>
  <w:footnote w:type="continuationSeparator" w:id="0">
    <w:p w:rsidR="00593142" w:rsidRDefault="00593142" w:rsidP="000F59D4">
      <w:pPr>
        <w:spacing w:after="0" w:line="240" w:lineRule="auto"/>
      </w:pPr>
      <w:r>
        <w:continuationSeparator/>
      </w:r>
    </w:p>
  </w:footnote>
  <w:footnote w:id="1">
    <w:p w:rsidR="00593142" w:rsidRDefault="00593142">
      <w:pPr>
        <w:pStyle w:val="FootnoteText"/>
      </w:pPr>
      <w:r>
        <w:rPr>
          <w:rStyle w:val="FootnoteReference"/>
        </w:rPr>
        <w:footnoteRef/>
      </w:r>
      <w:r>
        <w:t xml:space="preserve"> The impact of recommendations implemented, substantially or partially implemented at follow-up on the expected controls are assessed to provide the re-assessed assurance rating and assumes that previous controls that were operating and still operating.  It should be noted the correlation between control weaknesses and recommendations is not 1:1 i.e. one weakness identified may result in a number of recommendations being made and alternatively a number of weaknesses identified may result in only one recommendation being made.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688"/>
    <w:multiLevelType w:val="hybridMultilevel"/>
    <w:tmpl w:val="093CA834"/>
    <w:lvl w:ilvl="0" w:tplc="6FF6B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C7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07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26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E7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CD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AB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22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6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0E5A83"/>
    <w:multiLevelType w:val="hybridMultilevel"/>
    <w:tmpl w:val="4C9A1586"/>
    <w:lvl w:ilvl="0" w:tplc="18DCE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AA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E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E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2F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8E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0D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48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E1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440738"/>
    <w:multiLevelType w:val="hybridMultilevel"/>
    <w:tmpl w:val="29922C0E"/>
    <w:lvl w:ilvl="0" w:tplc="68E81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4B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CD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8B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67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8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E7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A1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2A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C422BE"/>
    <w:multiLevelType w:val="hybridMultilevel"/>
    <w:tmpl w:val="0F6C22A8"/>
    <w:lvl w:ilvl="0" w:tplc="08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4">
    <w:nsid w:val="1BED082F"/>
    <w:multiLevelType w:val="hybridMultilevel"/>
    <w:tmpl w:val="2F7ABB58"/>
    <w:lvl w:ilvl="0" w:tplc="B498D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8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43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41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89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0C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CA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0A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A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F46F6D"/>
    <w:multiLevelType w:val="hybridMultilevel"/>
    <w:tmpl w:val="00841D62"/>
    <w:lvl w:ilvl="0" w:tplc="08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6">
    <w:nsid w:val="2E9C52E7"/>
    <w:multiLevelType w:val="hybridMultilevel"/>
    <w:tmpl w:val="559EF1D8"/>
    <w:lvl w:ilvl="0" w:tplc="A16AF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89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A1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2B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C6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C0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ED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A2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E4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E91D5F"/>
    <w:multiLevelType w:val="hybridMultilevel"/>
    <w:tmpl w:val="1436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77CA5"/>
    <w:multiLevelType w:val="hybridMultilevel"/>
    <w:tmpl w:val="15744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62FAE"/>
    <w:multiLevelType w:val="hybridMultilevel"/>
    <w:tmpl w:val="A96A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65BF5"/>
    <w:multiLevelType w:val="hybridMultilevel"/>
    <w:tmpl w:val="032E3C48"/>
    <w:lvl w:ilvl="0" w:tplc="F7645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EA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29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4A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A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A7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CB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4E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EE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7908EA"/>
    <w:multiLevelType w:val="hybridMultilevel"/>
    <w:tmpl w:val="B79A1ED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39C1E3D"/>
    <w:multiLevelType w:val="hybridMultilevel"/>
    <w:tmpl w:val="A498FA88"/>
    <w:lvl w:ilvl="0" w:tplc="CDDAC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87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E1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85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81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A8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A6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0A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A8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5C34B9"/>
    <w:multiLevelType w:val="hybridMultilevel"/>
    <w:tmpl w:val="9D3CA48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FA97435"/>
    <w:multiLevelType w:val="hybridMultilevel"/>
    <w:tmpl w:val="268E8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52A37"/>
    <w:multiLevelType w:val="hybridMultilevel"/>
    <w:tmpl w:val="9B0A43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4729DBC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C23293B"/>
    <w:multiLevelType w:val="hybridMultilevel"/>
    <w:tmpl w:val="E1AAF786"/>
    <w:lvl w:ilvl="0" w:tplc="53405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AE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0A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8F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C3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E0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2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4E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A9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8"/>
  </w:num>
  <w:num w:numId="11">
    <w:abstractNumId w:val="13"/>
  </w:num>
  <w:num w:numId="12">
    <w:abstractNumId w:val="15"/>
  </w:num>
  <w:num w:numId="13">
    <w:abstractNumId w:val="7"/>
  </w:num>
  <w:num w:numId="14">
    <w:abstractNumId w:val="5"/>
  </w:num>
  <w:num w:numId="15">
    <w:abstractNumId w:val="3"/>
  </w:num>
  <w:num w:numId="16">
    <w:abstractNumId w:val="14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B6"/>
    <w:rsid w:val="000058F9"/>
    <w:rsid w:val="00035451"/>
    <w:rsid w:val="00065E7F"/>
    <w:rsid w:val="000750D6"/>
    <w:rsid w:val="000913A9"/>
    <w:rsid w:val="00097937"/>
    <w:rsid w:val="000A237E"/>
    <w:rsid w:val="000C1FFA"/>
    <w:rsid w:val="000F4EA7"/>
    <w:rsid w:val="000F59D4"/>
    <w:rsid w:val="000F73B2"/>
    <w:rsid w:val="00106217"/>
    <w:rsid w:val="001276EA"/>
    <w:rsid w:val="0014228A"/>
    <w:rsid w:val="0014488C"/>
    <w:rsid w:val="0014756C"/>
    <w:rsid w:val="00147A08"/>
    <w:rsid w:val="001600F4"/>
    <w:rsid w:val="00174F61"/>
    <w:rsid w:val="001C1FDD"/>
    <w:rsid w:val="001C66E5"/>
    <w:rsid w:val="001E78EF"/>
    <w:rsid w:val="001F0A3C"/>
    <w:rsid w:val="0020470E"/>
    <w:rsid w:val="002222E2"/>
    <w:rsid w:val="00231182"/>
    <w:rsid w:val="00233489"/>
    <w:rsid w:val="00261363"/>
    <w:rsid w:val="00266226"/>
    <w:rsid w:val="0028748D"/>
    <w:rsid w:val="00290004"/>
    <w:rsid w:val="00291D60"/>
    <w:rsid w:val="00293188"/>
    <w:rsid w:val="002A551A"/>
    <w:rsid w:val="002B36C4"/>
    <w:rsid w:val="002D2306"/>
    <w:rsid w:val="002E78E6"/>
    <w:rsid w:val="003069CF"/>
    <w:rsid w:val="0034579C"/>
    <w:rsid w:val="00346A5E"/>
    <w:rsid w:val="00355612"/>
    <w:rsid w:val="003603FF"/>
    <w:rsid w:val="00371F94"/>
    <w:rsid w:val="003A2FB6"/>
    <w:rsid w:val="003A3DFF"/>
    <w:rsid w:val="003A3E9E"/>
    <w:rsid w:val="003B6AAA"/>
    <w:rsid w:val="003C0454"/>
    <w:rsid w:val="003C311C"/>
    <w:rsid w:val="003C7099"/>
    <w:rsid w:val="003F4F70"/>
    <w:rsid w:val="00434776"/>
    <w:rsid w:val="00441376"/>
    <w:rsid w:val="004417E8"/>
    <w:rsid w:val="00471886"/>
    <w:rsid w:val="004831AC"/>
    <w:rsid w:val="004D32FB"/>
    <w:rsid w:val="004D6B0E"/>
    <w:rsid w:val="004E6157"/>
    <w:rsid w:val="004F7FDF"/>
    <w:rsid w:val="00527924"/>
    <w:rsid w:val="00545298"/>
    <w:rsid w:val="005519EF"/>
    <w:rsid w:val="005548A2"/>
    <w:rsid w:val="00565F52"/>
    <w:rsid w:val="00570C8F"/>
    <w:rsid w:val="00581053"/>
    <w:rsid w:val="0058545D"/>
    <w:rsid w:val="00587C91"/>
    <w:rsid w:val="00593142"/>
    <w:rsid w:val="00593955"/>
    <w:rsid w:val="00595812"/>
    <w:rsid w:val="0059750A"/>
    <w:rsid w:val="005B2E17"/>
    <w:rsid w:val="005C125A"/>
    <w:rsid w:val="005C3B93"/>
    <w:rsid w:val="005D768A"/>
    <w:rsid w:val="005E54EB"/>
    <w:rsid w:val="005E5739"/>
    <w:rsid w:val="005F5CAC"/>
    <w:rsid w:val="00617135"/>
    <w:rsid w:val="00636D58"/>
    <w:rsid w:val="00657516"/>
    <w:rsid w:val="00663F06"/>
    <w:rsid w:val="0067101C"/>
    <w:rsid w:val="00671215"/>
    <w:rsid w:val="00686AAC"/>
    <w:rsid w:val="006C3876"/>
    <w:rsid w:val="006C6C30"/>
    <w:rsid w:val="006D62BA"/>
    <w:rsid w:val="006E14F9"/>
    <w:rsid w:val="006F0E77"/>
    <w:rsid w:val="007226D6"/>
    <w:rsid w:val="007244A4"/>
    <w:rsid w:val="00730037"/>
    <w:rsid w:val="0073322B"/>
    <w:rsid w:val="007524CD"/>
    <w:rsid w:val="00753F90"/>
    <w:rsid w:val="00780E4F"/>
    <w:rsid w:val="007816FB"/>
    <w:rsid w:val="00781D72"/>
    <w:rsid w:val="00790346"/>
    <w:rsid w:val="00795C55"/>
    <w:rsid w:val="007B0E1E"/>
    <w:rsid w:val="007B29AB"/>
    <w:rsid w:val="007B7BAC"/>
    <w:rsid w:val="007C3BFB"/>
    <w:rsid w:val="007C565B"/>
    <w:rsid w:val="007C67D4"/>
    <w:rsid w:val="007D5F62"/>
    <w:rsid w:val="007E1F76"/>
    <w:rsid w:val="00804C76"/>
    <w:rsid w:val="00844C96"/>
    <w:rsid w:val="00856079"/>
    <w:rsid w:val="008605BD"/>
    <w:rsid w:val="00862D1E"/>
    <w:rsid w:val="00873A43"/>
    <w:rsid w:val="00881A39"/>
    <w:rsid w:val="00883799"/>
    <w:rsid w:val="008902AC"/>
    <w:rsid w:val="00896149"/>
    <w:rsid w:val="008D4A3F"/>
    <w:rsid w:val="008E68D0"/>
    <w:rsid w:val="008F417D"/>
    <w:rsid w:val="008F5D23"/>
    <w:rsid w:val="00900406"/>
    <w:rsid w:val="0094765E"/>
    <w:rsid w:val="009572F4"/>
    <w:rsid w:val="0096515E"/>
    <w:rsid w:val="00982CBB"/>
    <w:rsid w:val="00996341"/>
    <w:rsid w:val="009964CF"/>
    <w:rsid w:val="009C0F81"/>
    <w:rsid w:val="009D0078"/>
    <w:rsid w:val="009F02F0"/>
    <w:rsid w:val="009F3F83"/>
    <w:rsid w:val="00A04B79"/>
    <w:rsid w:val="00A10526"/>
    <w:rsid w:val="00A10B1A"/>
    <w:rsid w:val="00A23D26"/>
    <w:rsid w:val="00A616C9"/>
    <w:rsid w:val="00A75FA6"/>
    <w:rsid w:val="00AB3B97"/>
    <w:rsid w:val="00AD41F7"/>
    <w:rsid w:val="00AE1EE3"/>
    <w:rsid w:val="00AF3BA0"/>
    <w:rsid w:val="00AF40F1"/>
    <w:rsid w:val="00AF4487"/>
    <w:rsid w:val="00AF531C"/>
    <w:rsid w:val="00AF5C5D"/>
    <w:rsid w:val="00B10457"/>
    <w:rsid w:val="00B10EC4"/>
    <w:rsid w:val="00B33228"/>
    <w:rsid w:val="00B45E77"/>
    <w:rsid w:val="00B8344F"/>
    <w:rsid w:val="00B90417"/>
    <w:rsid w:val="00B94B8B"/>
    <w:rsid w:val="00B955EC"/>
    <w:rsid w:val="00B95617"/>
    <w:rsid w:val="00BA2892"/>
    <w:rsid w:val="00BB2995"/>
    <w:rsid w:val="00BD3A0A"/>
    <w:rsid w:val="00BE2404"/>
    <w:rsid w:val="00BE3227"/>
    <w:rsid w:val="00BE3A18"/>
    <w:rsid w:val="00BE72A1"/>
    <w:rsid w:val="00BE7A42"/>
    <w:rsid w:val="00BF7C61"/>
    <w:rsid w:val="00C1096B"/>
    <w:rsid w:val="00C173FD"/>
    <w:rsid w:val="00C2346B"/>
    <w:rsid w:val="00C24881"/>
    <w:rsid w:val="00C27C97"/>
    <w:rsid w:val="00C41AE9"/>
    <w:rsid w:val="00C55337"/>
    <w:rsid w:val="00C61E57"/>
    <w:rsid w:val="00C701ED"/>
    <w:rsid w:val="00C721DD"/>
    <w:rsid w:val="00C76451"/>
    <w:rsid w:val="00C769F1"/>
    <w:rsid w:val="00C825E7"/>
    <w:rsid w:val="00C9249A"/>
    <w:rsid w:val="00CA5E17"/>
    <w:rsid w:val="00CB7485"/>
    <w:rsid w:val="00CC31DF"/>
    <w:rsid w:val="00CD5EE8"/>
    <w:rsid w:val="00CE7604"/>
    <w:rsid w:val="00CF632C"/>
    <w:rsid w:val="00D157D1"/>
    <w:rsid w:val="00D22D05"/>
    <w:rsid w:val="00D36718"/>
    <w:rsid w:val="00D375F1"/>
    <w:rsid w:val="00D5798A"/>
    <w:rsid w:val="00D66AF4"/>
    <w:rsid w:val="00D86F82"/>
    <w:rsid w:val="00D93212"/>
    <w:rsid w:val="00DA3B37"/>
    <w:rsid w:val="00DB531C"/>
    <w:rsid w:val="00DB6306"/>
    <w:rsid w:val="00DC6470"/>
    <w:rsid w:val="00DE13EA"/>
    <w:rsid w:val="00DF3F6D"/>
    <w:rsid w:val="00E00D57"/>
    <w:rsid w:val="00E12FB5"/>
    <w:rsid w:val="00E13138"/>
    <w:rsid w:val="00E25EB6"/>
    <w:rsid w:val="00E4366B"/>
    <w:rsid w:val="00E43A35"/>
    <w:rsid w:val="00E64E7E"/>
    <w:rsid w:val="00E87231"/>
    <w:rsid w:val="00E96380"/>
    <w:rsid w:val="00E965A1"/>
    <w:rsid w:val="00EB1921"/>
    <w:rsid w:val="00EC3DD5"/>
    <w:rsid w:val="00EC6EED"/>
    <w:rsid w:val="00EF54D2"/>
    <w:rsid w:val="00F02B1B"/>
    <w:rsid w:val="00F06479"/>
    <w:rsid w:val="00F23EB0"/>
    <w:rsid w:val="00F32775"/>
    <w:rsid w:val="00F44CE8"/>
    <w:rsid w:val="00F52B5D"/>
    <w:rsid w:val="00F62C5F"/>
    <w:rsid w:val="00F92484"/>
    <w:rsid w:val="00FA16B5"/>
    <w:rsid w:val="00FB2832"/>
    <w:rsid w:val="00FC706B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C12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9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9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2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D4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4488C"/>
    <w:pPr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4488C"/>
    <w:rPr>
      <w:rFonts w:ascii="Arial" w:eastAsia="Times New Roman" w:hAnsi="Arial" w:cs="Arial"/>
      <w:b/>
      <w:sz w:val="24"/>
      <w:lang w:eastAsia="en-US"/>
    </w:rPr>
  </w:style>
  <w:style w:type="paragraph" w:customStyle="1" w:styleId="CharCharCharCharCharCharCharChar">
    <w:name w:val="Char Char Char Char Char Char Char Char"/>
    <w:basedOn w:val="Normal"/>
    <w:rsid w:val="004E6157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1D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D6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1D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C12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9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9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2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D4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4488C"/>
    <w:pPr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4488C"/>
    <w:rPr>
      <w:rFonts w:ascii="Arial" w:eastAsia="Times New Roman" w:hAnsi="Arial" w:cs="Arial"/>
      <w:b/>
      <w:sz w:val="24"/>
      <w:lang w:eastAsia="en-US"/>
    </w:rPr>
  </w:style>
  <w:style w:type="paragraph" w:customStyle="1" w:styleId="CharCharCharCharCharCharCharChar">
    <w:name w:val="Char Char Char Char Char Char Char Char"/>
    <w:basedOn w:val="Normal"/>
    <w:rsid w:val="004E6157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1D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D6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1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826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57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01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40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68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64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4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64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737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73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33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519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6368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10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1997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246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9C7E-6A7A-4969-B124-DFE3B270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2233</Words>
  <Characters>12730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Dixson</dc:creator>
  <cp:lastModifiedBy>Miriam Wearing</cp:lastModifiedBy>
  <cp:revision>2</cp:revision>
  <cp:lastPrinted>2020-01-03T11:17:00Z</cp:lastPrinted>
  <dcterms:created xsi:type="dcterms:W3CDTF">2020-01-13T09:39:00Z</dcterms:created>
  <dcterms:modified xsi:type="dcterms:W3CDTF">2020-01-13T09:39:00Z</dcterms:modified>
</cp:coreProperties>
</file>